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adjustRightInd w:val="0"/>
        <w:snapToGrid w:val="0"/>
        <w:spacing w:before="0" w:beforeLines="0" w:after="0" w:line="240" w:lineRule="auto"/>
        <w:rPr>
          <w:rFonts w:eastAsia="宋体" w:cs="Arial"/>
          <w:b w:val="0"/>
          <w:bCs/>
          <w:sz w:val="22"/>
          <w:szCs w:val="22"/>
          <w:lang w:eastAsia="zh-CN"/>
        </w:rPr>
      </w:pPr>
      <w:r>
        <w:rPr>
          <w:rFonts w:cs="Arial"/>
          <w:bCs/>
          <w:sz w:val="22"/>
          <w:szCs w:val="22"/>
        </w:rPr>
        <w:t>3GPP TSG RAN WG1 Meeting #10</w:t>
      </w:r>
      <w:r>
        <w:rPr>
          <w:rFonts w:hint="eastAsia" w:eastAsia="宋体" w:cs="Arial"/>
          <w:bCs/>
          <w:sz w:val="22"/>
          <w:szCs w:val="22"/>
          <w:lang w:eastAsia="zh-CN"/>
        </w:rPr>
        <w:t>6bis</w:t>
      </w:r>
      <w:r>
        <w:rPr>
          <w:rFonts w:hint="eastAsia" w:cs="Arial"/>
          <w:bCs/>
          <w:sz w:val="22"/>
          <w:szCs w:val="22"/>
        </w:rPr>
        <w:t xml:space="preserve">-e       </w:t>
      </w:r>
      <w:r>
        <w:rPr>
          <w:rFonts w:cs="Arial"/>
          <w:bCs/>
          <w:sz w:val="22"/>
          <w:szCs w:val="22"/>
        </w:rPr>
        <w:t xml:space="preserve">                            </w:t>
      </w:r>
      <w:r>
        <w:rPr>
          <w:rFonts w:hint="eastAsia" w:cs="Arial"/>
          <w:bCs/>
          <w:sz w:val="22"/>
          <w:szCs w:val="22"/>
        </w:rPr>
        <w:t xml:space="preserve">             </w:t>
      </w:r>
      <w:r>
        <w:rPr>
          <w:rFonts w:cs="Arial"/>
          <w:bCs/>
          <w:sz w:val="22"/>
          <w:szCs w:val="22"/>
        </w:rPr>
        <w:t xml:space="preserve">  </w:t>
      </w:r>
      <w:r>
        <w:rPr>
          <w:rFonts w:hint="eastAsia" w:cs="Arial"/>
          <w:bCs/>
          <w:sz w:val="22"/>
          <w:szCs w:val="22"/>
        </w:rPr>
        <w:tab/>
      </w:r>
      <w:r>
        <w:rPr>
          <w:rFonts w:cs="Arial"/>
          <w:bCs/>
          <w:sz w:val="22"/>
          <w:szCs w:val="22"/>
        </w:rPr>
        <w:t xml:space="preserve"> </w:t>
      </w:r>
      <w:r>
        <w:rPr>
          <w:rFonts w:hint="eastAsia" w:cs="Arial"/>
          <w:bCs/>
          <w:sz w:val="22"/>
          <w:szCs w:val="22"/>
        </w:rPr>
        <w:t xml:space="preserve">         </w:t>
      </w:r>
      <w:r>
        <w:rPr>
          <w:rFonts w:cs="Arial"/>
          <w:bCs/>
          <w:sz w:val="22"/>
          <w:szCs w:val="22"/>
        </w:rPr>
        <w:t xml:space="preserve">  </w:t>
      </w:r>
      <w:r>
        <w:rPr>
          <w:rFonts w:hint="eastAsia" w:cs="Arial"/>
          <w:bCs/>
          <w:sz w:val="22"/>
          <w:szCs w:val="22"/>
        </w:rPr>
        <w:t xml:space="preserve">  </w:t>
      </w:r>
      <w:r>
        <w:rPr>
          <w:rFonts w:cs="Arial"/>
          <w:bCs/>
          <w:sz w:val="22"/>
          <w:szCs w:val="22"/>
        </w:rPr>
        <w:t>R1-210</w:t>
      </w:r>
      <w:r>
        <w:rPr>
          <w:rFonts w:hint="eastAsia" w:eastAsia="宋体" w:cs="Arial"/>
          <w:bCs/>
          <w:sz w:val="22"/>
          <w:szCs w:val="22"/>
          <w:lang w:eastAsia="zh-CN"/>
        </w:rPr>
        <w:t>8873</w:t>
      </w:r>
      <w:r>
        <w:rPr>
          <w:rFonts w:cs="Arial"/>
          <w:bCs/>
          <w:sz w:val="22"/>
          <w:szCs w:val="22"/>
        </w:rPr>
        <w:t xml:space="preserve"> </w:t>
      </w:r>
    </w:p>
    <w:p>
      <w:pPr>
        <w:tabs>
          <w:tab w:val="center" w:pos="4536"/>
          <w:tab w:val="right" w:pos="8280"/>
          <w:tab w:val="right" w:pos="9639"/>
        </w:tabs>
        <w:snapToGrid w:val="0"/>
        <w:spacing w:before="120"/>
        <w:ind w:left="402" w:right="2" w:hanging="402" w:hangingChars="200"/>
        <w:rPr>
          <w:rFonts w:ascii="Arial" w:hAnsi="Arial" w:cs="Arial"/>
          <w:b/>
          <w:sz w:val="22"/>
          <w:szCs w:val="22"/>
        </w:rPr>
      </w:pPr>
      <w:r>
        <w:rPr>
          <w:rFonts w:ascii="Arial" w:hAnsi="Arial"/>
          <w:b/>
        </w:rPr>
        <w:t xml:space="preserve">e-Meeting, </w:t>
      </w:r>
      <w:r>
        <w:rPr>
          <w:rFonts w:ascii="Arial" w:hAnsi="Arial" w:cs="Arial"/>
          <w:b/>
          <w:sz w:val="22"/>
          <w:szCs w:val="22"/>
          <w:lang w:eastAsia="ja-JP"/>
        </w:rPr>
        <w:t xml:space="preserve"> </w:t>
      </w:r>
      <w:r>
        <w:rPr>
          <w:rFonts w:hint="eastAsia" w:ascii="Arial" w:hAnsi="Arial"/>
          <w:b/>
          <w:sz w:val="22"/>
        </w:rPr>
        <w:t xml:space="preserve">October </w:t>
      </w:r>
      <w:r>
        <w:rPr>
          <w:rFonts w:hint="eastAsia" w:ascii="Arial" w:hAnsi="Arial"/>
          <w:b/>
          <w:sz w:val="22"/>
          <w:lang w:eastAsia="ja-JP"/>
        </w:rPr>
        <w:t>1</w:t>
      </w:r>
      <w:r>
        <w:rPr>
          <w:rFonts w:hint="eastAsia" w:ascii="Arial" w:hAnsi="Arial"/>
          <w:b/>
          <w:sz w:val="22"/>
        </w:rPr>
        <w:t>1</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19</w:t>
      </w:r>
      <w:r>
        <w:rPr>
          <w:rFonts w:hint="eastAsia" w:ascii="Arial" w:hAnsi="Arial"/>
          <w:b/>
          <w:sz w:val="22"/>
          <w:vertAlign w:val="superscript"/>
        </w:rPr>
        <w:t>th</w:t>
      </w:r>
      <w:r>
        <w:rPr>
          <w:rFonts w:hint="eastAsia" w:ascii="Arial" w:hAnsi="Arial"/>
          <w:b/>
          <w:sz w:val="22"/>
          <w:lang w:eastAsia="ja-JP"/>
        </w:rPr>
        <w:t>, 202</w:t>
      </w:r>
      <w:r>
        <w:rPr>
          <w:rFonts w:hint="eastAsia" w:ascii="Arial" w:hAnsi="Arial"/>
          <w:b/>
          <w:sz w:val="22"/>
        </w:rPr>
        <w:t>1</w:t>
      </w:r>
    </w:p>
    <w:p>
      <w:pPr>
        <w:adjustRightInd w:val="0"/>
        <w:snapToGrid w:val="0"/>
        <w:spacing w:before="0" w:beforeLines="0" w:afterLines="50" w:line="240" w:lineRule="auto"/>
        <w:rPr>
          <w:rFonts w:ascii="Arial" w:hAnsi="Arial" w:eastAsia="MS Mincho"/>
          <w:b/>
          <w:lang w:eastAsia="ja-JP"/>
        </w:rPr>
      </w:pPr>
      <w:r>
        <w:rPr>
          <w:rFonts w:hint="eastAsia" w:ascii="Arial" w:hAnsi="Arial" w:eastAsia="MS Mincho"/>
          <w:b/>
          <w:lang w:eastAsia="ja-JP"/>
        </w:rPr>
        <w:t xml:space="preserve">Source:              </w:t>
      </w:r>
      <w:r>
        <w:rPr>
          <w:rFonts w:ascii="Arial" w:hAnsi="Arial" w:eastAsia="MS Mincho"/>
          <w:b/>
          <w:lang w:eastAsia="ja-JP"/>
        </w:rPr>
        <w:t xml:space="preserve">   </w:t>
      </w:r>
      <w:r>
        <w:rPr>
          <w:rFonts w:hint="eastAsia" w:ascii="Arial" w:hAnsi="Arial" w:eastAsia="MS Mincho"/>
          <w:b/>
          <w:lang w:eastAsia="ja-JP"/>
        </w:rPr>
        <w:t>ZTE</w:t>
      </w:r>
    </w:p>
    <w:p>
      <w:pPr>
        <w:pStyle w:val="18"/>
        <w:tabs>
          <w:tab w:val="clear" w:pos="4536"/>
        </w:tabs>
        <w:snapToGrid w:val="0"/>
        <w:spacing w:before="0" w:beforeLines="0" w:after="0" w:line="240" w:lineRule="auto"/>
        <w:ind w:left="1698" w:hanging="1698" w:hangingChars="769"/>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eastAsia="宋体"/>
          <w:sz w:val="22"/>
          <w:szCs w:val="22"/>
          <w:lang w:eastAsia="zh-CN"/>
        </w:rPr>
        <w:t>Enhancements on beam management for multi-TRP</w:t>
      </w:r>
    </w:p>
    <w:p>
      <w:pPr>
        <w:pStyle w:val="18"/>
        <w:tabs>
          <w:tab w:val="clear" w:pos="4536"/>
        </w:tabs>
        <w:snapToGrid w:val="0"/>
        <w:spacing w:before="0" w:beforeLines="0" w:after="0" w:line="240" w:lineRule="auto"/>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w:t>
      </w:r>
      <w:r>
        <w:rPr>
          <w:rFonts w:eastAsia="宋体"/>
          <w:sz w:val="22"/>
          <w:szCs w:val="22"/>
          <w:lang w:eastAsia="zh-CN"/>
        </w:rPr>
        <w:t>8.1.2.3</w:t>
      </w:r>
    </w:p>
    <w:p>
      <w:pPr>
        <w:pStyle w:val="18"/>
        <w:tabs>
          <w:tab w:val="clear" w:pos="4536"/>
        </w:tabs>
        <w:snapToGrid w:val="0"/>
        <w:spacing w:before="0" w:beforeLines="0" w:after="0" w:line="240" w:lineRule="auto"/>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Bdr>
          <w:bottom w:val="single" w:color="auto" w:sz="4" w:space="1"/>
        </w:pBdr>
        <w:tabs>
          <w:tab w:val="left" w:pos="2552"/>
        </w:tabs>
        <w:snapToGrid w:val="0"/>
        <w:spacing w:before="120"/>
        <w:rPr>
          <w:sz w:val="4"/>
          <w:szCs w:val="4"/>
        </w:rPr>
      </w:pPr>
    </w:p>
    <w:p>
      <w:pPr>
        <w:numPr>
          <w:ilvl w:val="0"/>
          <w:numId w:val="6"/>
        </w:numPr>
        <w:tabs>
          <w:tab w:val="clear" w:pos="432"/>
        </w:tabs>
        <w:snapToGrid w:val="0"/>
        <w:spacing w:before="120" w:afterLines="50"/>
        <w:ind w:left="425" w:hanging="425"/>
        <w:outlineLvl w:val="0"/>
        <w:rPr>
          <w:b/>
          <w:sz w:val="28"/>
          <w:szCs w:val="28"/>
        </w:rPr>
      </w:pPr>
      <w:r>
        <w:rPr>
          <w:b/>
          <w:sz w:val="28"/>
          <w:szCs w:val="28"/>
        </w:rPr>
        <w:t>Introduction</w:t>
      </w:r>
    </w:p>
    <w:p>
      <w:pPr>
        <w:overflowPunct w:val="0"/>
        <w:autoSpaceDE w:val="0"/>
        <w:autoSpaceDN w:val="0"/>
        <w:adjustRightInd w:val="0"/>
        <w:spacing w:before="120"/>
        <w:textAlignment w:val="baseline"/>
        <w:rPr>
          <w:rFonts w:eastAsia="微软雅黑"/>
        </w:rPr>
      </w:pPr>
      <w:r>
        <w:t>Regarding beam management for multi-TRP, which is one of the objectives in the W</w:t>
      </w:r>
      <w:r>
        <w:rPr>
          <w:rFonts w:eastAsia="微软雅黑"/>
        </w:rPr>
        <w:t>ID [1], some potential enhancements including DL beam measurement and reporting with multi-panel reception, and TRP-specific beam recovery are discussed for NR Rel-17 in this contribution.</w:t>
      </w:r>
    </w:p>
    <w:p>
      <w:pPr>
        <w:numPr>
          <w:ilvl w:val="0"/>
          <w:numId w:val="6"/>
        </w:numPr>
        <w:tabs>
          <w:tab w:val="clear" w:pos="432"/>
        </w:tabs>
        <w:snapToGrid w:val="0"/>
        <w:spacing w:before="120" w:afterLines="50"/>
        <w:ind w:left="425" w:hanging="425"/>
        <w:outlineLvl w:val="0"/>
        <w:rPr>
          <w:b/>
          <w:sz w:val="28"/>
          <w:szCs w:val="28"/>
        </w:rPr>
      </w:pPr>
      <w:r>
        <w:rPr>
          <w:b/>
          <w:sz w:val="28"/>
          <w:szCs w:val="28"/>
        </w:rPr>
        <w:t>Enhancement(s) on DL beam measurement and repor</w:t>
      </w:r>
      <w:bookmarkStart w:id="6" w:name="_GoBack"/>
      <w:bookmarkEnd w:id="6"/>
      <w:r>
        <w:rPr>
          <w:b/>
          <w:sz w:val="28"/>
          <w:szCs w:val="28"/>
        </w:rPr>
        <w:t>ting</w:t>
      </w:r>
    </w:p>
    <w:p>
      <w:pPr>
        <w:overflowPunct w:val="0"/>
        <w:autoSpaceDE w:val="0"/>
        <w:autoSpaceDN w:val="0"/>
        <w:adjustRightInd w:val="0"/>
        <w:spacing w:before="120"/>
        <w:textAlignment w:val="baseline"/>
        <w:rPr>
          <w:rFonts w:eastAsia="微软雅黑"/>
          <w:lang w:val="en-GB"/>
        </w:rPr>
      </w:pPr>
      <w:r>
        <w:rPr>
          <w:rFonts w:eastAsia="微软雅黑"/>
          <w:lang w:val="en-GB"/>
        </w:rPr>
        <w:t>In this section, some potential enhancements including beam reporting for facilitating inter-TRP pairing and CSI framework for multi-panel/TRP based beam measurement are discussed for NR Rel-17.</w:t>
      </w:r>
    </w:p>
    <w:p>
      <w:pPr>
        <w:numPr>
          <w:ilvl w:val="1"/>
          <w:numId w:val="6"/>
        </w:numPr>
        <w:snapToGrid w:val="0"/>
        <w:spacing w:before="120" w:afterLines="50"/>
        <w:outlineLvl w:val="1"/>
        <w:rPr>
          <w:b/>
          <w:sz w:val="28"/>
        </w:rPr>
      </w:pPr>
      <w:r>
        <w:rPr>
          <w:b/>
          <w:sz w:val="28"/>
        </w:rPr>
        <w:t xml:space="preserve">Enhancements on </w:t>
      </w:r>
      <w:r>
        <w:rPr>
          <w:b/>
          <w:bCs/>
          <w:sz w:val="24"/>
          <w:szCs w:val="24"/>
        </w:rPr>
        <w:t>L1-SINR measurement and reporting</w:t>
      </w:r>
    </w:p>
    <w:p>
      <w:pPr>
        <w:overflowPunct w:val="0"/>
        <w:autoSpaceDE w:val="0"/>
        <w:autoSpaceDN w:val="0"/>
        <w:adjustRightInd w:val="0"/>
        <w:spacing w:before="120"/>
        <w:textAlignment w:val="baseline"/>
        <w:rPr>
          <w:rFonts w:eastAsia="微软雅黑"/>
          <w:lang w:val="en-GB"/>
        </w:rPr>
      </w:pPr>
      <w:r>
        <w:t xml:space="preserve">Beam reporting that informs gNB which pairs of multiple beams can be received simultaneously (which implicitly provides the mapping between UE panel and gNB beam) should be regarded as an essential solution for supporting multi-panel operation of both DL and UL transmission (including DL multi-panel reception and UL fast panel selection). </w:t>
      </w:r>
      <w:r>
        <w:rPr>
          <w:rFonts w:eastAsia="微软雅黑"/>
          <w:lang w:val="en-GB"/>
        </w:rPr>
        <w:t xml:space="preserve">In RAN1#103-e, the following agreement on candidate solutions for facilitating inter-TRP beam pairing was agreed.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21"/>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Down-select at least one of the following options for beam measurement/reporting enhancement to facilitate inter-TRP beam pairing in RAN1 #104-e</w:t>
            </w:r>
          </w:p>
          <w:p>
            <w:pPr>
              <w:pStyle w:val="47"/>
              <w:numPr>
                <w:ilvl w:val="0"/>
                <w:numId w:val="7"/>
              </w:numPr>
              <w:snapToGrid w:val="0"/>
              <w:spacing w:beforeLines="0" w:after="0" w:line="240" w:lineRule="auto"/>
              <w:rPr>
                <w:rFonts w:ascii="Times" w:hAnsi="Times" w:cs="Times"/>
              </w:rPr>
            </w:pPr>
            <w:r>
              <w:rPr>
                <w:rFonts w:cs="Times"/>
              </w:rPr>
              <w:t>Option 1: In a CSI-report, UE can report N&gt;1 pair/groups and M&gt;=1 beams per pair/group</w:t>
            </w:r>
          </w:p>
          <w:p>
            <w:pPr>
              <w:pStyle w:val="47"/>
              <w:numPr>
                <w:ilvl w:val="1"/>
                <w:numId w:val="7"/>
              </w:numPr>
              <w:snapToGrid w:val="0"/>
              <w:spacing w:beforeLines="0" w:after="0" w:line="240" w:lineRule="auto"/>
              <w:rPr>
                <w:rFonts w:cs="Times"/>
              </w:rPr>
            </w:pPr>
            <w:r>
              <w:rPr>
                <w:rFonts w:cs="Times"/>
              </w:rPr>
              <w:t>Different beams in different pairs/groups can be received simultaneously </w:t>
            </w:r>
          </w:p>
          <w:p>
            <w:pPr>
              <w:pStyle w:val="47"/>
              <w:numPr>
                <w:ilvl w:val="1"/>
                <w:numId w:val="7"/>
              </w:numPr>
              <w:snapToGrid w:val="0"/>
              <w:spacing w:beforeLines="0" w:after="0" w:line="240" w:lineRule="auto"/>
              <w:rPr>
                <w:rFonts w:cs="Times"/>
              </w:rPr>
            </w:pPr>
            <w:r>
              <w:rPr>
                <w:rFonts w:cs="Times"/>
              </w:rPr>
              <w:t>FFS: whether M is equal or can be different across different pair/group</w:t>
            </w:r>
          </w:p>
          <w:p>
            <w:pPr>
              <w:pStyle w:val="47"/>
              <w:numPr>
                <w:ilvl w:val="0"/>
                <w:numId w:val="7"/>
              </w:numPr>
              <w:snapToGrid w:val="0"/>
              <w:spacing w:beforeLines="0" w:after="0" w:line="240" w:lineRule="auto"/>
              <w:rPr>
                <w:rFonts w:cs="Times"/>
              </w:rPr>
            </w:pPr>
            <w:r>
              <w:rPr>
                <w:rFonts w:cs="Times"/>
              </w:rPr>
              <w:t>Option 2: In a CSI-report, UE can report N(N&gt;=1) pairs/groups and M (M&gt;1) beams per pair/group</w:t>
            </w:r>
          </w:p>
          <w:p>
            <w:pPr>
              <w:pStyle w:val="47"/>
              <w:numPr>
                <w:ilvl w:val="1"/>
                <w:numId w:val="7"/>
              </w:numPr>
              <w:snapToGrid w:val="0"/>
              <w:spacing w:beforeLines="0" w:after="0" w:line="240" w:lineRule="auto"/>
              <w:rPr>
                <w:rFonts w:cs="Times"/>
              </w:rPr>
            </w:pPr>
            <w:r>
              <w:rPr>
                <w:rFonts w:cs="Times"/>
              </w:rPr>
              <w:t>Different beams within a pair/group can be received simultaneously</w:t>
            </w:r>
          </w:p>
          <w:p>
            <w:pPr>
              <w:pStyle w:val="47"/>
              <w:numPr>
                <w:ilvl w:val="0"/>
                <w:numId w:val="7"/>
              </w:numPr>
              <w:snapToGrid w:val="0"/>
              <w:spacing w:beforeLines="0" w:after="0" w:line="240" w:lineRule="auto"/>
              <w:rPr>
                <w:rFonts w:cs="Times"/>
              </w:rPr>
            </w:pPr>
            <w:r>
              <w:rPr>
                <w:rFonts w:cs="Times"/>
              </w:rPr>
              <w:t>Option 3: UE report M(M&gt;=1) beams in N (N&gt;1) CSI-reports corresponding to N report setting</w:t>
            </w:r>
          </w:p>
          <w:p>
            <w:pPr>
              <w:pStyle w:val="47"/>
              <w:numPr>
                <w:ilvl w:val="1"/>
                <w:numId w:val="7"/>
              </w:numPr>
              <w:snapToGrid w:val="0"/>
              <w:spacing w:beforeLines="0" w:after="0" w:line="240" w:lineRule="auto"/>
              <w:rPr>
                <w:rFonts w:cs="Times"/>
              </w:rPr>
            </w:pPr>
            <w:r>
              <w:rPr>
                <w:rFonts w:cs="Times"/>
              </w:rPr>
              <w:t>Different beams in different CSI-reports can be received simultaneously</w:t>
            </w:r>
          </w:p>
          <w:p>
            <w:pPr>
              <w:pStyle w:val="47"/>
              <w:numPr>
                <w:ilvl w:val="1"/>
                <w:numId w:val="7"/>
              </w:numPr>
              <w:snapToGrid w:val="0"/>
              <w:spacing w:beforeLines="0" w:after="0" w:line="240" w:lineRule="auto"/>
              <w:rPr>
                <w:rFonts w:cs="Times"/>
              </w:rPr>
            </w:pPr>
            <w:r>
              <w:rPr>
                <w:rFonts w:cs="Times"/>
              </w:rPr>
              <w:t>FFS: whether/how to introduce an association between different CSI-reports</w:t>
            </w:r>
          </w:p>
          <w:p>
            <w:pPr>
              <w:pStyle w:val="47"/>
              <w:numPr>
                <w:ilvl w:val="1"/>
                <w:numId w:val="7"/>
              </w:numPr>
              <w:snapToGrid w:val="0"/>
              <w:spacing w:beforeLines="0" w:after="0" w:line="240" w:lineRule="auto"/>
              <w:rPr>
                <w:rFonts w:cs="Times"/>
              </w:rPr>
            </w:pPr>
            <w:r>
              <w:rPr>
                <w:rFonts w:cs="Times"/>
              </w:rPr>
              <w:t>FFS: whether/how to differentiate reported measurements for beams that are received simultaneously vs. beams that are not received simultaneously </w:t>
            </w:r>
          </w:p>
          <w:p>
            <w:pPr>
              <w:pStyle w:val="47"/>
              <w:numPr>
                <w:ilvl w:val="2"/>
                <w:numId w:val="7"/>
              </w:numPr>
              <w:snapToGrid w:val="0"/>
              <w:spacing w:beforeLines="0" w:after="0" w:line="240" w:lineRule="auto"/>
              <w:rPr>
                <w:rFonts w:cs="Times"/>
              </w:rPr>
            </w:pPr>
            <w:r>
              <w:rPr>
                <w:rFonts w:cs="Times"/>
              </w:rPr>
              <w:t>Whether/how to introduce an indication along with the CSI-reports to indicate whether the beams in different CSI-reports can be received simultaneously</w:t>
            </w:r>
          </w:p>
          <w:p>
            <w:pPr>
              <w:pStyle w:val="47"/>
              <w:numPr>
                <w:ilvl w:val="0"/>
                <w:numId w:val="7"/>
              </w:numPr>
              <w:snapToGrid w:val="0"/>
              <w:spacing w:beforeLines="0" w:after="0" w:line="240" w:lineRule="auto"/>
              <w:rPr>
                <w:rFonts w:cs="Times"/>
              </w:rPr>
            </w:pPr>
            <w:r>
              <w:rPr>
                <w:rFonts w:cs="Times"/>
              </w:rPr>
              <w:t>FFS: value of N and M in each option</w:t>
            </w:r>
          </w:p>
          <w:p>
            <w:pPr>
              <w:pStyle w:val="47"/>
              <w:numPr>
                <w:ilvl w:val="0"/>
                <w:numId w:val="7"/>
              </w:numPr>
              <w:snapToGrid w:val="0"/>
              <w:spacing w:beforeLines="0" w:after="0" w:line="240" w:lineRule="auto"/>
              <w:rPr>
                <w:rFonts w:cs="Times"/>
              </w:rPr>
            </w:pPr>
            <w:r>
              <w:rPr>
                <w:rFonts w:cs="Times"/>
              </w:rPr>
              <w:t>FFS: Association between different beams in above options and different TRP/UE panels</w:t>
            </w:r>
          </w:p>
          <w:p>
            <w:pPr>
              <w:pStyle w:val="47"/>
              <w:numPr>
                <w:ilvl w:val="0"/>
                <w:numId w:val="7"/>
              </w:numPr>
              <w:snapToGrid w:val="0"/>
              <w:spacing w:beforeLines="0" w:after="0" w:line="240" w:lineRule="auto"/>
              <w:rPr>
                <w:rFonts w:cs="Times"/>
              </w:rPr>
            </w:pPr>
            <w:r>
              <w:rPr>
                <w:rFonts w:cs="Times"/>
              </w:rPr>
              <w:t>FFS: Identify new use cases per option compared with R16 (including backhaul)</w:t>
            </w:r>
          </w:p>
          <w:p>
            <w:pPr>
              <w:pStyle w:val="47"/>
              <w:numPr>
                <w:ilvl w:val="0"/>
                <w:numId w:val="7"/>
              </w:numPr>
              <w:snapToGrid w:val="0"/>
              <w:spacing w:beforeLines="0" w:after="0" w:line="240" w:lineRule="auto"/>
              <w:rPr>
                <w:rFonts w:cs="Times"/>
              </w:rPr>
            </w:pPr>
            <w:r>
              <w:rPr>
                <w:rFonts w:cs="Times"/>
              </w:rPr>
              <w:t>FFS: whether different beams in different pairs/groups/reports can be received by same spatial filter per option</w:t>
            </w:r>
          </w:p>
        </w:tc>
      </w:tr>
    </w:tbl>
    <w:p>
      <w:pPr>
        <w:overflowPunct w:val="0"/>
        <w:autoSpaceDE w:val="0"/>
        <w:autoSpaceDN w:val="0"/>
        <w:adjustRightInd w:val="0"/>
        <w:spacing w:before="120"/>
        <w:textAlignment w:val="baseline"/>
      </w:pPr>
      <w:r>
        <w:rPr>
          <w:rFonts w:eastAsia="微软雅黑"/>
          <w:lang w:val="en-GB"/>
        </w:rPr>
        <w:t>Then, in RAN1#104-e, there was good progress that Option</w:t>
      </w:r>
      <w:r>
        <w:rPr>
          <w:rFonts w:hint="eastAsia" w:eastAsia="微软雅黑"/>
        </w:rPr>
        <w:t xml:space="preserve"> </w:t>
      </w:r>
      <w:r>
        <w:rPr>
          <w:rFonts w:eastAsia="微软雅黑"/>
          <w:lang w:val="en-GB"/>
        </w:rPr>
        <w:t xml:space="preserve">2 was agreed for L1-RSRP beam measurement of </w:t>
      </w:r>
      <w:r>
        <w:rPr>
          <w:rFonts w:hint="eastAsia" w:eastAsia="微软雅黑"/>
        </w:rPr>
        <w:t>m</w:t>
      </w:r>
      <w:r>
        <w:rPr>
          <w:rFonts w:eastAsia="微软雅黑"/>
          <w:lang w:val="en-GB"/>
        </w:rPr>
        <w:t xml:space="preserve">TRP simultaneous transmission. Meanwhile L1-SINR based reporting </w:t>
      </w:r>
      <w:r>
        <w:rPr>
          <w:rFonts w:hint="eastAsia" w:eastAsia="微软雅黑"/>
        </w:rPr>
        <w:t>is</w:t>
      </w:r>
      <w:r>
        <w:rPr>
          <w:rFonts w:eastAsia="微软雅黑"/>
          <w:lang w:val="en-GB"/>
        </w:rPr>
        <w:t xml:space="preserve"> still FFS and thus </w:t>
      </w:r>
      <w:r>
        <w:rPr>
          <w:rFonts w:hint="eastAsia" w:eastAsia="微软雅黑"/>
        </w:rPr>
        <w:t>is</w:t>
      </w:r>
      <w:r>
        <w:rPr>
          <w:rFonts w:eastAsia="微软雅黑"/>
          <w:lang w:val="en-GB"/>
        </w:rPr>
        <w:t xml:space="preserve"> discussed in the following sub-sections accordingly.</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snapToGrid w:val="0"/>
              <w:spacing w:before="0" w:beforeLines="0" w:after="0" w:line="240" w:lineRule="auto"/>
              <w:rPr>
                <w:szCs w:val="16"/>
              </w:rPr>
            </w:pPr>
            <w:r>
              <w:rPr>
                <w:szCs w:val="16"/>
              </w:rPr>
              <w:t xml:space="preserve">For beam measurement in support of M-TRP simultaneous transmission </w:t>
            </w:r>
          </w:p>
          <w:p>
            <w:pPr>
              <w:numPr>
                <w:ilvl w:val="0"/>
                <w:numId w:val="8"/>
              </w:numPr>
              <w:snapToGrid w:val="0"/>
              <w:spacing w:before="0" w:beforeLines="0" w:after="0" w:line="240" w:lineRule="auto"/>
              <w:ind w:left="714" w:hanging="357"/>
            </w:pPr>
            <w:r>
              <w:t xml:space="preserve">Support a single CSI-report consisting of N beams pairs/groups and M (M&gt;1) beams per pair/group, and different beams within a pair/group can be received simultaneously </w:t>
            </w:r>
          </w:p>
          <w:p>
            <w:pPr>
              <w:pStyle w:val="21"/>
              <w:numPr>
                <w:ilvl w:val="1"/>
                <w:numId w:val="8"/>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Support M = 2</w:t>
            </w:r>
          </w:p>
          <w:p>
            <w:pPr>
              <w:pStyle w:val="21"/>
              <w:numPr>
                <w:ilvl w:val="1"/>
                <w:numId w:val="8"/>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Support extending the maximum value of N &gt; 1, exact value FFS</w:t>
            </w:r>
          </w:p>
          <w:p>
            <w:pPr>
              <w:pStyle w:val="21"/>
              <w:numPr>
                <w:ilvl w:val="1"/>
                <w:numId w:val="8"/>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N=1 and N=2</w:t>
            </w:r>
          </w:p>
          <w:p>
            <w:pPr>
              <w:pStyle w:val="21"/>
              <w:numPr>
                <w:ilvl w:val="2"/>
                <w:numId w:val="8"/>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FFS: Other values larger than 2</w:t>
            </w:r>
          </w:p>
          <w:p>
            <w:pPr>
              <w:pStyle w:val="21"/>
              <w:numPr>
                <w:ilvl w:val="2"/>
                <w:numId w:val="8"/>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FFS: Whether the UE could report beams are received with different RX beams</w:t>
            </w:r>
          </w:p>
          <w:p>
            <w:pPr>
              <w:pStyle w:val="21"/>
              <w:numPr>
                <w:ilvl w:val="0"/>
                <w:numId w:val="8"/>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Further study the support of option 1 and option 3</w:t>
            </w:r>
          </w:p>
          <w:p>
            <w:pPr>
              <w:pStyle w:val="21"/>
              <w:numPr>
                <w:ilvl w:val="0"/>
                <w:numId w:val="8"/>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The above applies at least for L1-RSRP</w:t>
            </w:r>
          </w:p>
          <w:p>
            <w:pPr>
              <w:pStyle w:val="47"/>
              <w:numPr>
                <w:ilvl w:val="0"/>
                <w:numId w:val="7"/>
              </w:numPr>
              <w:snapToGrid w:val="0"/>
              <w:spacing w:before="0" w:beforeLines="0" w:after="120" w:line="240" w:lineRule="auto"/>
              <w:ind w:left="714" w:hanging="357"/>
              <w:rPr>
                <w:rFonts w:cs="Times"/>
              </w:rPr>
            </w:pPr>
            <w:r>
              <w:t xml:space="preserve">FFS: L1-SINR </w:t>
            </w:r>
          </w:p>
        </w:tc>
      </w:tr>
    </w:tbl>
    <w:p>
      <w:pPr>
        <w:overflowPunct w:val="0"/>
        <w:autoSpaceDE w:val="0"/>
        <w:autoSpaceDN w:val="0"/>
        <w:adjustRightInd w:val="0"/>
        <w:spacing w:before="120"/>
        <w:textAlignment w:val="baseline"/>
      </w:pPr>
      <w:r>
        <w:rPr>
          <w:rFonts w:eastAsia="微软雅黑"/>
          <w:lang w:val="en-GB"/>
        </w:rPr>
        <w:t xml:space="preserve">Regarding the agreed </w:t>
      </w:r>
      <w:r>
        <w:rPr>
          <w:rFonts w:hint="eastAsia" w:eastAsia="微软雅黑"/>
        </w:rPr>
        <w:t>Option 2 (beam group based reporting)</w:t>
      </w:r>
      <w:r>
        <w:rPr>
          <w:rFonts w:eastAsia="微软雅黑"/>
        </w:rPr>
        <w:t xml:space="preserve">, </w:t>
      </w:r>
      <w:r>
        <w:rPr>
          <w:rFonts w:hint="eastAsia"/>
        </w:rPr>
        <w:t xml:space="preserve">multiple </w:t>
      </w:r>
      <w:r>
        <w:t xml:space="preserve">Tx </w:t>
      </w:r>
      <w:r>
        <w:rPr>
          <w:rFonts w:hint="eastAsia"/>
        </w:rPr>
        <w:t>beams</w:t>
      </w:r>
      <w:r>
        <w:t xml:space="preserve"> in a group can be received simultaneously, and consequently the consideration on </w:t>
      </w:r>
      <w:r>
        <w:rPr>
          <w:rFonts w:hint="eastAsia"/>
        </w:rPr>
        <w:t xml:space="preserve">inter-beam interference </w:t>
      </w:r>
      <w:r>
        <w:t>should be taken on for well ensuring transmission performance</w:t>
      </w:r>
      <w:r>
        <w:rPr>
          <w:rFonts w:hint="eastAsia"/>
        </w:rPr>
        <w:t xml:space="preserve">. </w:t>
      </w:r>
      <w:r>
        <w:t>Specifically</w:t>
      </w:r>
      <w:r>
        <w:rPr>
          <w:rFonts w:hint="eastAsia"/>
        </w:rPr>
        <w:t>, it is necessary to measure and report mutual interference from the UE, so that beam</w:t>
      </w:r>
      <w:r>
        <w:t xml:space="preserve"> pair(</w:t>
      </w:r>
      <w:r>
        <w:rPr>
          <w:rFonts w:hint="eastAsia"/>
        </w:rPr>
        <w:t>s</w:t>
      </w:r>
      <w:r>
        <w:t>)</w:t>
      </w:r>
      <w:r>
        <w:rPr>
          <w:rFonts w:hint="eastAsia"/>
        </w:rPr>
        <w:t xml:space="preserve"> with </w:t>
      </w:r>
      <w:r>
        <w:t>low inter-beam interference</w:t>
      </w:r>
      <w:r>
        <w:rPr>
          <w:rFonts w:hint="eastAsia"/>
        </w:rPr>
        <w:t xml:space="preserve"> can be used for transmission. However, the L1-RSRP based beam reporting fails to take this interference into account. </w:t>
      </w:r>
      <w:r>
        <w:t>Since</w:t>
      </w:r>
      <w:r>
        <w:rPr>
          <w:rFonts w:hint="eastAsia"/>
        </w:rPr>
        <w:t xml:space="preserve"> the L1-SINR based beam reporting has been introduced in Rel-16, </w:t>
      </w:r>
      <w:r>
        <w:t xml:space="preserve">it is straightforward that L1-SINR reporting should be supported </w:t>
      </w:r>
      <w:r>
        <w:rPr>
          <w:rFonts w:hint="eastAsia"/>
        </w:rPr>
        <w:t xml:space="preserve">in Rel-17 </w:t>
      </w:r>
      <w:r>
        <w:t>as well</w:t>
      </w:r>
      <w:r>
        <w:rPr>
          <w:rFonts w:hint="eastAsia"/>
        </w:rPr>
        <w:t xml:space="preserve">. </w:t>
      </w:r>
    </w:p>
    <w:p>
      <w:pPr>
        <w:pStyle w:val="113"/>
        <w:numPr>
          <w:ilvl w:val="0"/>
          <w:numId w:val="9"/>
        </w:numPr>
        <w:overflowPunct w:val="0"/>
        <w:autoSpaceDE w:val="0"/>
        <w:autoSpaceDN w:val="0"/>
        <w:adjustRightInd w:val="0"/>
        <w:spacing w:before="120"/>
        <w:ind w:firstLineChars="0"/>
        <w:textAlignment w:val="baseline"/>
      </w:pPr>
      <w:r>
        <w:t>For instance, w</w:t>
      </w:r>
      <w:r>
        <w:rPr>
          <w:rFonts w:hint="eastAsia"/>
        </w:rPr>
        <w:t>hen one resource setting is configured, which two CMR</w:t>
      </w:r>
      <w:r>
        <w:t>(s)</w:t>
      </w:r>
      <w:r>
        <w:rPr>
          <w:rFonts w:hint="eastAsia"/>
        </w:rPr>
        <w:t xml:space="preserve"> from different TRPs should be received and calculated by UE simultaneously to obtain the inter-beam interference needs to be enhanced. When two resource settings are configured, </w:t>
      </w:r>
      <w:r>
        <w:t xml:space="preserve">interference and noise from </w:t>
      </w:r>
      <w:r>
        <w:rPr>
          <w:rFonts w:hint="eastAsia"/>
        </w:rPr>
        <w:t>IMR</w:t>
      </w:r>
      <w:r>
        <w:t xml:space="preserve"> measurement should be further considered accordingly</w:t>
      </w:r>
      <w:r>
        <w:rPr>
          <w:rFonts w:hint="eastAsia"/>
        </w:rPr>
        <w:t>.</w:t>
      </w:r>
    </w:p>
    <w:p>
      <w:pPr>
        <w:numPr>
          <w:ilvl w:val="1"/>
          <w:numId w:val="10"/>
        </w:numPr>
        <w:overflowPunct w:val="0"/>
        <w:autoSpaceDE w:val="0"/>
        <w:autoSpaceDN w:val="0"/>
        <w:adjustRightInd w:val="0"/>
        <w:spacing w:before="120"/>
        <w:textAlignment w:val="baseline"/>
        <w:rPr>
          <w:rFonts w:eastAsia="微软雅黑"/>
          <w:lang w:val="en-GB"/>
        </w:rPr>
      </w:pPr>
      <w:r>
        <w:rPr>
          <w:rFonts w:eastAsia="微软雅黑"/>
          <w:lang w:val="en-GB"/>
        </w:rPr>
        <w:t xml:space="preserve">In order to well evaluate </w:t>
      </w:r>
      <w:r>
        <w:rPr>
          <w:rFonts w:hint="eastAsia" w:eastAsia="微软雅黑"/>
        </w:rPr>
        <w:t>LI-SINR performance</w:t>
      </w:r>
      <w:r>
        <w:rPr>
          <w:rFonts w:eastAsia="微软雅黑"/>
          <w:lang w:val="en-GB"/>
        </w:rPr>
        <w:t>,</w:t>
      </w:r>
      <w:r>
        <w:rPr>
          <w:rFonts w:hint="eastAsia" w:eastAsia="微软雅黑"/>
        </w:rPr>
        <w:t xml:space="preserve"> </w:t>
      </w:r>
      <w:r>
        <w:rPr>
          <w:rFonts w:hint="eastAsia"/>
        </w:rPr>
        <w:t xml:space="preserve">we </w:t>
      </w:r>
      <w:r>
        <w:t>evaluate</w:t>
      </w:r>
      <w:r>
        <w:rPr>
          <w:rFonts w:hint="eastAsia"/>
        </w:rPr>
        <w:t xml:space="preserve"> LLS spectral efficiency</w:t>
      </w:r>
      <w:r>
        <w:t xml:space="preserve"> for the beam reporting of L1-RSRP, SINR without IMR, i.e., CMR-only based L1-SINR measurement, and SINR with IMR, i.e., CMR+IMR based L1-SINR measurement to emulate the potential interference beams, under group based approach.</w:t>
      </w:r>
      <w:r>
        <w:rPr>
          <w:rFonts w:hint="eastAsia"/>
        </w:rPr>
        <w:t xml:space="preserve"> </w:t>
      </w:r>
      <w:r>
        <w:t xml:space="preserve">The results are shown in Figure </w:t>
      </w:r>
      <w:r>
        <w:rPr>
          <w:rFonts w:hint="eastAsia"/>
        </w:rPr>
        <w:t>1</w:t>
      </w:r>
      <w:r>
        <w:t xml:space="preserve"> and Table </w:t>
      </w:r>
      <w:r>
        <w:rPr>
          <w:rFonts w:hint="eastAsia"/>
        </w:rPr>
        <w:t>1</w:t>
      </w:r>
      <w:r>
        <w:t>.</w:t>
      </w:r>
      <w:r>
        <w:rPr>
          <w:rFonts w:hint="eastAsia"/>
        </w:rPr>
        <w:t xml:space="preserve"> </w:t>
      </w:r>
    </w:p>
    <w:p>
      <w:pPr>
        <w:numPr>
          <w:ilvl w:val="1"/>
          <w:numId w:val="10"/>
        </w:numPr>
        <w:overflowPunct w:val="0"/>
        <w:autoSpaceDE w:val="0"/>
        <w:autoSpaceDN w:val="0"/>
        <w:adjustRightInd w:val="0"/>
        <w:spacing w:before="120"/>
        <w:textAlignment w:val="baseline"/>
        <w:rPr>
          <w:rFonts w:eastAsia="微软雅黑"/>
          <w:lang w:val="en-GB"/>
        </w:rPr>
      </w:pPr>
      <w:r>
        <w:rPr>
          <w:lang w:val="en-GB"/>
        </w:rPr>
        <w:t>L1-SINR without IMR (i.e., CMR-only based L1-SINR measurement) has some performance gains over the legacy RSRP reporting, e.g., +2.54% in terms of average spectral efficiency; L1-SINR with IMR (through implying low-interference beams due to emulate interference) significantly</w:t>
      </w:r>
      <w:r>
        <w:t xml:space="preserve"> outperforms RSRP reporting, e.g., up to 24.23% gains of average spectral efficiency. </w:t>
      </w:r>
    </w:p>
    <w:p>
      <w:pPr>
        <w:numPr>
          <w:ilvl w:val="1"/>
          <w:numId w:val="10"/>
        </w:numPr>
        <w:overflowPunct w:val="0"/>
        <w:autoSpaceDE w:val="0"/>
        <w:autoSpaceDN w:val="0"/>
        <w:adjustRightInd w:val="0"/>
        <w:spacing w:before="120"/>
        <w:textAlignment w:val="baseline"/>
        <w:rPr>
          <w:rFonts w:eastAsia="微软雅黑"/>
          <w:lang w:val="en-GB"/>
        </w:rPr>
      </w:pPr>
      <w:r>
        <w:rPr>
          <w:rFonts w:eastAsia="微软雅黑"/>
          <w:lang w:val="en-GB"/>
        </w:rPr>
        <w:t>Some more details can be found in our companion contribution [2].</w:t>
      </w:r>
    </w:p>
    <w:p>
      <w:pPr>
        <w:pStyle w:val="113"/>
        <w:numPr>
          <w:ilvl w:val="255"/>
          <w:numId w:val="0"/>
        </w:numPr>
        <w:overflowPunct w:val="0"/>
        <w:autoSpaceDE w:val="0"/>
        <w:autoSpaceDN w:val="0"/>
        <w:adjustRightInd w:val="0"/>
        <w:spacing w:before="0" w:beforeLines="0" w:after="0"/>
        <w:textAlignment w:val="baseline"/>
        <w:rPr>
          <w:lang w:val="en-GB"/>
        </w:rPr>
      </w:pPr>
      <w:r>
        <w:rPr>
          <w:rFonts w:hint="eastAsia"/>
        </w:rPr>
        <w:t xml:space="preserve">-     </w:t>
      </w:r>
      <w:r>
        <w:t>In the case of L1-SINR without IMR</w:t>
      </w:r>
    </w:p>
    <w:p>
      <w:pPr>
        <w:numPr>
          <w:ilvl w:val="3"/>
          <w:numId w:val="10"/>
        </w:numPr>
        <w:autoSpaceDE w:val="0"/>
        <w:autoSpaceDN w:val="0"/>
        <w:adjustRightInd w:val="0"/>
        <w:snapToGrid w:val="0"/>
        <w:spacing w:before="0" w:beforeLines="0" w:after="0"/>
        <w:ind w:left="783" w:hanging="363"/>
        <w:rPr>
          <w:kern w:val="2"/>
          <w:lang w:val="en-GB"/>
        </w:rPr>
      </w:pPr>
      <w:r>
        <w:rPr>
          <w:rFonts w:hint="eastAsia"/>
        </w:rPr>
        <w:t>The UE may assume the same CMR is used for both channel and interference measurements</w:t>
      </w:r>
      <w:r>
        <w:t>.</w:t>
      </w:r>
    </w:p>
    <w:p>
      <w:pPr>
        <w:pStyle w:val="113"/>
        <w:numPr>
          <w:ilvl w:val="255"/>
          <w:numId w:val="0"/>
        </w:numPr>
        <w:overflowPunct w:val="0"/>
        <w:autoSpaceDE w:val="0"/>
        <w:autoSpaceDN w:val="0"/>
        <w:adjustRightInd w:val="0"/>
        <w:spacing w:before="0" w:beforeLines="0" w:after="0"/>
        <w:textAlignment w:val="baseline"/>
      </w:pPr>
      <w:r>
        <w:rPr>
          <w:rFonts w:hint="eastAsia"/>
        </w:rPr>
        <w:t xml:space="preserve">-    In the case of </w:t>
      </w:r>
      <w:r>
        <w:t>L1-SINR with IMR</w:t>
      </w:r>
    </w:p>
    <w:p>
      <w:pPr>
        <w:numPr>
          <w:ilvl w:val="3"/>
          <w:numId w:val="10"/>
        </w:numPr>
        <w:autoSpaceDE w:val="0"/>
        <w:autoSpaceDN w:val="0"/>
        <w:adjustRightInd w:val="0"/>
        <w:snapToGrid w:val="0"/>
        <w:spacing w:before="0" w:beforeLines="0" w:after="0"/>
        <w:ind w:left="783" w:hanging="363"/>
      </w:pPr>
      <w:r>
        <w:rPr>
          <w:rFonts w:hint="eastAsia"/>
        </w:rPr>
        <w:t>The UE may assume the one CMR is used for channel measurement and one IMR is used for interference measurement.</w:t>
      </w:r>
    </w:p>
    <w:p>
      <w:pPr>
        <w:overflowPunct w:val="0"/>
        <w:autoSpaceDE w:val="0"/>
        <w:autoSpaceDN w:val="0"/>
        <w:adjustRightInd w:val="0"/>
        <w:spacing w:before="120"/>
        <w:textAlignment w:val="baseline"/>
      </w:pPr>
    </w:p>
    <w:p>
      <w:pPr>
        <w:spacing w:before="120"/>
        <w:jc w:val="center"/>
        <w:rPr>
          <w:highlight w:val="yellow"/>
        </w:rPr>
      </w:pPr>
      <w:r>
        <w:drawing>
          <wp:inline distT="0" distB="0" distL="114300" distR="114300">
            <wp:extent cx="4267200" cy="3201035"/>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0"/>
                    <a:stretch>
                      <a:fillRect/>
                    </a:stretch>
                  </pic:blipFill>
                  <pic:spPr>
                    <a:xfrm>
                      <a:off x="0" y="0"/>
                      <a:ext cx="4267200" cy="3201035"/>
                    </a:xfrm>
                    <a:prstGeom prst="rect">
                      <a:avLst/>
                    </a:prstGeom>
                    <a:noFill/>
                    <a:ln>
                      <a:noFill/>
                    </a:ln>
                  </pic:spPr>
                </pic:pic>
              </a:graphicData>
            </a:graphic>
          </wp:inline>
        </w:drawing>
      </w:r>
    </w:p>
    <w:p>
      <w:pPr>
        <w:spacing w:before="120"/>
        <w:jc w:val="center"/>
      </w:pPr>
      <w:r>
        <w:rPr>
          <w:b/>
        </w:rPr>
        <w:t xml:space="preserve">Figure </w:t>
      </w:r>
      <w:r>
        <w:rPr>
          <w:rFonts w:hint="eastAsia"/>
          <w:b/>
        </w:rPr>
        <w:t>1</w:t>
      </w:r>
      <w:r>
        <w:rPr>
          <w:b/>
        </w:rPr>
        <w:t xml:space="preserve"> </w:t>
      </w:r>
      <w:r>
        <w:t>CDF of spectral efficiency for L1-RSRP and L1-SINR with/without IMR under group based approach</w:t>
      </w:r>
    </w:p>
    <w:p>
      <w:pPr>
        <w:spacing w:before="240" w:beforeLines="100" w:after="0"/>
        <w:jc w:val="center"/>
        <w:rPr>
          <w:lang w:val="en-GB"/>
        </w:rPr>
      </w:pPr>
      <w:r>
        <w:rPr>
          <w:b/>
        </w:rPr>
        <w:t xml:space="preserve">Table </w:t>
      </w:r>
      <w:r>
        <w:rPr>
          <w:rFonts w:hint="eastAsia"/>
          <w:b/>
        </w:rPr>
        <w:t>1</w:t>
      </w:r>
      <w:r>
        <w:rPr>
          <w:rFonts w:hint="eastAsia"/>
          <w:lang w:val="en-GB"/>
        </w:rPr>
        <w:tab/>
      </w:r>
      <w:r>
        <w:rPr>
          <w:lang w:val="en-GB"/>
        </w:rPr>
        <w:t>S</w:t>
      </w:r>
      <w:r>
        <w:rPr>
          <w:rFonts w:hint="eastAsia"/>
          <w:lang w:val="en-GB"/>
        </w:rPr>
        <w:t xml:space="preserve">pectral efficiency </w:t>
      </w:r>
      <w:r>
        <w:rPr>
          <w:lang w:val="en-GB"/>
        </w:rPr>
        <w:t xml:space="preserve">for L1-RSRP and L1-SINR </w:t>
      </w:r>
      <w:r>
        <w:t>with/without IMR</w:t>
      </w:r>
      <w:r>
        <w:rPr>
          <w:rFonts w:hint="eastAsia"/>
        </w:rPr>
        <w:t xml:space="preserve"> </w:t>
      </w:r>
      <w:r>
        <w:rPr>
          <w:lang w:val="en-GB"/>
        </w:rPr>
        <w:t xml:space="preserve">reporting </w:t>
      </w:r>
      <w:r>
        <w:rPr>
          <w:rFonts w:hint="eastAsia"/>
        </w:rPr>
        <w:t>under</w:t>
      </w:r>
      <w:r>
        <w:rPr>
          <w:lang w:val="en-GB"/>
        </w:rPr>
        <w:t xml:space="preserve"> group based approach</w:t>
      </w:r>
    </w:p>
    <w:tbl>
      <w:tblPr>
        <w:tblStyle w:val="23"/>
        <w:tblW w:w="93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47"/>
        <w:gridCol w:w="2411"/>
        <w:gridCol w:w="2874"/>
        <w:gridCol w:w="2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47" w:type="dxa"/>
          </w:tcPr>
          <w:p>
            <w:pPr>
              <w:spacing w:before="120" w:afterLines="50"/>
              <w:jc w:val="center"/>
              <w:textAlignment w:val="center"/>
              <w:rPr>
                <w:lang w:val="en-GB"/>
              </w:rPr>
            </w:pPr>
          </w:p>
        </w:tc>
        <w:tc>
          <w:tcPr>
            <w:tcW w:w="2411" w:type="dxa"/>
          </w:tcPr>
          <w:p>
            <w:pPr>
              <w:spacing w:before="120" w:afterLines="50"/>
              <w:jc w:val="center"/>
              <w:textAlignment w:val="center"/>
              <w:rPr>
                <w:lang w:val="en-GB"/>
              </w:rPr>
            </w:pPr>
            <w:r>
              <w:rPr>
                <w:lang w:val="en-GB"/>
              </w:rPr>
              <w:t>L1-RSRP</w:t>
            </w:r>
          </w:p>
        </w:tc>
        <w:tc>
          <w:tcPr>
            <w:tcW w:w="2874" w:type="dxa"/>
          </w:tcPr>
          <w:p>
            <w:pPr>
              <w:spacing w:before="120" w:afterLines="50"/>
              <w:jc w:val="center"/>
              <w:textAlignment w:val="center"/>
              <w:rPr>
                <w:lang w:val="en-GB"/>
              </w:rPr>
            </w:pPr>
            <w:r>
              <w:rPr>
                <w:lang w:val="en-GB"/>
              </w:rPr>
              <w:t>L1-SINR without IMR</w:t>
            </w:r>
          </w:p>
        </w:tc>
        <w:tc>
          <w:tcPr>
            <w:tcW w:w="2634" w:type="dxa"/>
          </w:tcPr>
          <w:p>
            <w:pPr>
              <w:spacing w:before="120" w:afterLines="50"/>
              <w:jc w:val="center"/>
              <w:textAlignment w:val="center"/>
              <w:rPr>
                <w:lang w:val="en-GB"/>
              </w:rPr>
            </w:pPr>
            <w:r>
              <w:rPr>
                <w:rFonts w:hint="eastAsia"/>
                <w:lang w:val="en-GB"/>
              </w:rPr>
              <w:t>L</w:t>
            </w:r>
            <w:r>
              <w:rPr>
                <w:lang w:val="en-GB"/>
              </w:rPr>
              <w:t>1-SINR with IMR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47" w:type="dxa"/>
          </w:tcPr>
          <w:p>
            <w:pPr>
              <w:spacing w:before="120" w:afterLines="50"/>
              <w:jc w:val="center"/>
              <w:textAlignment w:val="center"/>
              <w:rPr>
                <w:lang w:val="en-GB"/>
              </w:rPr>
            </w:pPr>
            <w:r>
              <w:t>Average</w:t>
            </w:r>
          </w:p>
        </w:tc>
        <w:tc>
          <w:tcPr>
            <w:tcW w:w="2411" w:type="dxa"/>
          </w:tcPr>
          <w:p>
            <w:pPr>
              <w:spacing w:before="120" w:afterLines="50"/>
              <w:jc w:val="center"/>
              <w:textAlignment w:val="center"/>
              <w:rPr>
                <w:lang w:val="en-GB"/>
              </w:rPr>
            </w:pPr>
            <w:r>
              <w:rPr>
                <w:lang w:val="en-GB"/>
              </w:rPr>
              <w:t>14.7094</w:t>
            </w:r>
          </w:p>
          <w:p>
            <w:pPr>
              <w:spacing w:before="120" w:afterLines="50"/>
              <w:jc w:val="center"/>
              <w:textAlignment w:val="center"/>
              <w:rPr>
                <w:lang w:val="en-GB"/>
              </w:rPr>
            </w:pPr>
            <w:r>
              <w:rPr>
                <w:color w:val="000000"/>
                <w:lang w:val="en-GB"/>
              </w:rPr>
              <w:t>(</w:t>
            </w:r>
            <w:r>
              <w:rPr>
                <w:rFonts w:hint="eastAsia"/>
                <w:color w:val="000000"/>
                <w:lang w:val="en-GB"/>
              </w:rPr>
              <w:t>100</w:t>
            </w:r>
            <w:r>
              <w:rPr>
                <w:color w:val="000000"/>
                <w:lang w:val="en-GB"/>
              </w:rPr>
              <w:t>%)</w:t>
            </w:r>
          </w:p>
        </w:tc>
        <w:tc>
          <w:tcPr>
            <w:tcW w:w="2874" w:type="dxa"/>
          </w:tcPr>
          <w:p>
            <w:pPr>
              <w:spacing w:before="120" w:afterLines="50"/>
              <w:jc w:val="center"/>
              <w:textAlignment w:val="center"/>
              <w:rPr>
                <w:lang w:val="en-GB"/>
              </w:rPr>
            </w:pPr>
            <w:r>
              <w:rPr>
                <w:lang w:val="en-GB"/>
              </w:rPr>
              <w:t>15.0825</w:t>
            </w:r>
          </w:p>
          <w:p>
            <w:pPr>
              <w:spacing w:before="120" w:afterLines="50"/>
              <w:jc w:val="center"/>
              <w:textAlignment w:val="center"/>
              <w:rPr>
                <w:lang w:val="en-GB"/>
              </w:rPr>
            </w:pPr>
            <w:r>
              <w:rPr>
                <w:rFonts w:hint="eastAsia"/>
                <w:lang w:val="en-GB"/>
              </w:rPr>
              <w:t>(</w:t>
            </w:r>
            <w:r>
              <w:rPr>
                <w:rFonts w:hint="eastAsia"/>
                <w:color w:val="FF0000"/>
                <w:lang w:val="en-GB"/>
              </w:rPr>
              <w:t>+</w:t>
            </w:r>
            <w:r>
              <w:rPr>
                <w:color w:val="FF0000"/>
                <w:lang w:val="en-GB"/>
              </w:rPr>
              <w:t>2.54</w:t>
            </w:r>
            <w:r>
              <w:rPr>
                <w:rFonts w:hint="eastAsia"/>
                <w:color w:val="FF0000"/>
                <w:lang w:val="en-GB"/>
              </w:rPr>
              <w:t>%</w:t>
            </w:r>
            <w:r>
              <w:rPr>
                <w:color w:val="FF0000"/>
                <w:lang w:val="en-GB"/>
              </w:rPr>
              <w:t>↑</w:t>
            </w:r>
            <w:r>
              <w:rPr>
                <w:rFonts w:hint="eastAsia"/>
                <w:lang w:val="en-GB"/>
              </w:rPr>
              <w:t>)</w:t>
            </w:r>
          </w:p>
        </w:tc>
        <w:tc>
          <w:tcPr>
            <w:tcW w:w="2634" w:type="dxa"/>
          </w:tcPr>
          <w:p>
            <w:pPr>
              <w:spacing w:before="120" w:afterLines="50"/>
              <w:jc w:val="center"/>
              <w:textAlignment w:val="center"/>
              <w:rPr>
                <w:lang w:val="en-GB"/>
              </w:rPr>
            </w:pPr>
            <w:r>
              <w:rPr>
                <w:lang w:val="en-GB"/>
              </w:rPr>
              <w:t>18.2731</w:t>
            </w:r>
          </w:p>
          <w:p>
            <w:pPr>
              <w:spacing w:before="120" w:afterLines="50"/>
              <w:jc w:val="center"/>
              <w:textAlignment w:val="center"/>
              <w:rPr>
                <w:lang w:val="en-GB"/>
              </w:rPr>
            </w:pPr>
            <w:r>
              <w:rPr>
                <w:rFonts w:hint="eastAsia"/>
                <w:lang w:val="en-GB"/>
              </w:rPr>
              <w:t>(</w:t>
            </w:r>
            <w:r>
              <w:rPr>
                <w:rFonts w:hint="eastAsia"/>
                <w:color w:val="FF0000"/>
                <w:lang w:val="en-GB"/>
              </w:rPr>
              <w:t>+</w:t>
            </w:r>
            <w:r>
              <w:rPr>
                <w:color w:val="FF0000"/>
                <w:lang w:val="en-GB"/>
              </w:rPr>
              <w:t>24.23</w:t>
            </w:r>
            <w:r>
              <w:rPr>
                <w:rFonts w:hint="eastAsia"/>
                <w:color w:val="FF0000"/>
                <w:lang w:val="en-GB"/>
              </w:rPr>
              <w:t>%</w:t>
            </w:r>
            <w:r>
              <w:rPr>
                <w:color w:val="FF0000"/>
                <w:lang w:val="en-GB"/>
              </w:rPr>
              <w:t>↑</w:t>
            </w:r>
            <w:r>
              <w:rPr>
                <w:rFonts w:hint="eastAsia"/>
                <w:lang w:val="en-GB"/>
              </w:rPr>
              <w:t>)</w:t>
            </w:r>
          </w:p>
        </w:tc>
      </w:tr>
    </w:tbl>
    <w:p>
      <w:pPr>
        <w:spacing w:before="240" w:beforeLines="100" w:afterLines="50" w:line="240" w:lineRule="auto"/>
        <w:rPr>
          <w:i/>
        </w:rPr>
      </w:pPr>
      <w:r>
        <w:rPr>
          <w:b/>
          <w:i/>
        </w:rPr>
        <w:t xml:space="preserve">Observation </w:t>
      </w:r>
      <w:r>
        <w:rPr>
          <w:rFonts w:hint="eastAsia"/>
          <w:b/>
          <w:i/>
        </w:rPr>
        <w:t>1</w:t>
      </w:r>
      <w:r>
        <w:rPr>
          <w:b/>
          <w:i/>
        </w:rPr>
        <w:t xml:space="preserve">: </w:t>
      </w:r>
      <w:r>
        <w:rPr>
          <w:i/>
        </w:rPr>
        <w:t>From the evaluation results in the multi-TRP case, it can be observed that:</w:t>
      </w:r>
    </w:p>
    <w:p>
      <w:pPr>
        <w:numPr>
          <w:ilvl w:val="0"/>
          <w:numId w:val="11"/>
        </w:numPr>
        <w:spacing w:before="120" w:after="0"/>
        <w:rPr>
          <w:i/>
          <w:iCs/>
        </w:rPr>
      </w:pPr>
      <w:r>
        <w:rPr>
          <w:rFonts w:hint="eastAsia"/>
          <w:i/>
          <w:iCs/>
        </w:rPr>
        <w:t>Under the case without IMR, L1-SINR reporting can obtain limited performance gains over L1-RSRP.</w:t>
      </w:r>
    </w:p>
    <w:p>
      <w:pPr>
        <w:numPr>
          <w:ilvl w:val="0"/>
          <w:numId w:val="11"/>
        </w:numPr>
        <w:spacing w:before="120" w:after="0"/>
        <w:rPr>
          <w:i/>
          <w:iCs/>
        </w:rPr>
      </w:pPr>
      <w:r>
        <w:rPr>
          <w:rFonts w:hint="eastAsia"/>
          <w:i/>
          <w:iCs/>
        </w:rPr>
        <w:t>L1-SINR reporting with</w:t>
      </w:r>
      <w:r>
        <w:rPr>
          <w:i/>
          <w:iCs/>
        </w:rPr>
        <w:t xml:space="preserve"> the assistance of</w:t>
      </w:r>
      <w:r>
        <w:rPr>
          <w:rFonts w:hint="eastAsia"/>
          <w:i/>
          <w:iCs/>
        </w:rPr>
        <w:t xml:space="preserve"> IMR</w:t>
      </w:r>
      <w:r>
        <w:rPr>
          <w:i/>
          <w:iCs/>
        </w:rPr>
        <w:t>, i.e., CMR+IMR,</w:t>
      </w:r>
      <w:r>
        <w:rPr>
          <w:rFonts w:hint="eastAsia"/>
          <w:i/>
          <w:iCs/>
        </w:rPr>
        <w:t xml:space="preserve"> significantly outperforms L1-RSRP and L1-SINR without IMR, through </w:t>
      </w:r>
      <w:r>
        <w:rPr>
          <w:i/>
          <w:iCs/>
        </w:rPr>
        <w:t>emulating</w:t>
      </w:r>
      <w:r>
        <w:rPr>
          <w:rFonts w:hint="eastAsia"/>
          <w:i/>
          <w:iCs/>
        </w:rPr>
        <w:t xml:space="preserve"> the interference of other beams with IMR.</w:t>
      </w:r>
    </w:p>
    <w:p>
      <w:pPr>
        <w:overflowPunct w:val="0"/>
        <w:autoSpaceDE w:val="0"/>
        <w:autoSpaceDN w:val="0"/>
        <w:adjustRightInd w:val="0"/>
        <w:spacing w:before="120"/>
        <w:textAlignment w:val="baseline"/>
        <w:rPr>
          <w:i/>
          <w:iCs/>
        </w:rPr>
      </w:pPr>
      <w:r>
        <w:rPr>
          <w:b/>
          <w:i/>
        </w:rPr>
        <w:t>Proposal 1:</w:t>
      </w:r>
      <w:r>
        <w:rPr>
          <w:i/>
        </w:rPr>
        <w:t xml:space="preserve"> </w:t>
      </w:r>
      <w:r>
        <w:rPr>
          <w:rFonts w:hint="eastAsia"/>
          <w:i/>
          <w:iCs/>
        </w:rPr>
        <w:t>For facilitating inter-beam interference measurement, L1-SINR reporting should be supported.</w:t>
      </w:r>
    </w:p>
    <w:p>
      <w:pPr>
        <w:numPr>
          <w:ilvl w:val="0"/>
          <w:numId w:val="11"/>
        </w:numPr>
        <w:spacing w:before="120" w:after="0"/>
        <w:rPr>
          <w:i/>
          <w:iCs/>
        </w:rPr>
      </w:pPr>
      <w:r>
        <w:rPr>
          <w:rFonts w:hint="eastAsia"/>
          <w:i/>
          <w:iCs/>
        </w:rPr>
        <w:t xml:space="preserve"> The definition of L1-SINR should be enhanced, considering interference among CMR(s) to be reported.</w:t>
      </w:r>
    </w:p>
    <w:p>
      <w:pPr>
        <w:numPr>
          <w:ilvl w:val="0"/>
          <w:numId w:val="11"/>
        </w:numPr>
        <w:spacing w:before="120" w:after="0"/>
        <w:rPr>
          <w:i/>
          <w:iCs/>
        </w:rPr>
      </w:pPr>
      <w:r>
        <w:rPr>
          <w:rFonts w:hint="eastAsia"/>
          <w:i/>
          <w:iCs/>
        </w:rPr>
        <w:t>The association among CMRs from different TRPs (or called as candidate CMR pairs) should be supported.</w:t>
      </w:r>
    </w:p>
    <w:p>
      <w:pPr>
        <w:numPr>
          <w:ilvl w:val="1"/>
          <w:numId w:val="12"/>
        </w:numPr>
        <w:spacing w:before="60" w:beforeLines="25" w:afterLines="50"/>
        <w:ind w:left="851"/>
        <w:rPr>
          <w:i/>
        </w:rPr>
      </w:pPr>
      <w:r>
        <w:rPr>
          <w:rFonts w:hint="eastAsia"/>
          <w:i/>
        </w:rPr>
        <w:t>Analogous to Rel-16, CMR+ZP-IMR and CMR+NZP-IMR can be supported besides CMR only.</w:t>
      </w:r>
    </w:p>
    <w:p>
      <w:pPr>
        <w:numPr>
          <w:ilvl w:val="1"/>
          <w:numId w:val="6"/>
        </w:numPr>
        <w:snapToGrid w:val="0"/>
        <w:spacing w:before="120" w:afterLines="50"/>
        <w:outlineLvl w:val="1"/>
        <w:rPr>
          <w:b/>
          <w:sz w:val="28"/>
        </w:rPr>
      </w:pPr>
      <w:r>
        <w:rPr>
          <w:rFonts w:hint="eastAsia"/>
          <w:b/>
          <w:sz w:val="28"/>
        </w:rPr>
        <w:t>Report content for Option 2</w:t>
      </w:r>
    </w:p>
    <w:p>
      <w:pPr>
        <w:spacing w:before="120"/>
      </w:pPr>
      <w:r>
        <w:t xml:space="preserve">Based on the current specification, M=2 CSI-RS and/or SSB resources can be received simultaneously by the UE either with a single spatial domain receive filter, or with multiple simultaneous spatial domain receive filters. </w:t>
      </w:r>
    </w:p>
    <w:p>
      <w:pPr>
        <w:numPr>
          <w:ilvl w:val="0"/>
          <w:numId w:val="13"/>
        </w:numPr>
        <w:spacing w:before="120"/>
      </w:pPr>
      <w:r>
        <w:t>For a single spatial domain receive filter, M=2 CSI-RS and/or SSB resources can be used for spatial diversity</w:t>
      </w:r>
      <w:r>
        <w:rPr>
          <w:rFonts w:hint="eastAsia"/>
        </w:rPr>
        <w:t xml:space="preserve">, as shown in </w:t>
      </w:r>
      <w:r>
        <w:t>F</w:t>
      </w:r>
      <w:r>
        <w:rPr>
          <w:rFonts w:hint="eastAsia"/>
        </w:rPr>
        <w:t xml:space="preserve">igure </w:t>
      </w:r>
      <w:r>
        <w:t>2</w:t>
      </w:r>
      <w:r>
        <w:rPr>
          <w:rFonts w:hint="eastAsia"/>
        </w:rPr>
        <w:t>(a).</w:t>
      </w:r>
    </w:p>
    <w:p>
      <w:pPr>
        <w:numPr>
          <w:ilvl w:val="0"/>
          <w:numId w:val="13"/>
        </w:numPr>
        <w:spacing w:before="120"/>
        <w:rPr>
          <w:b/>
          <w:sz w:val="28"/>
        </w:rPr>
      </w:pPr>
      <w:r>
        <w:t>For multiple simultaneous spatial domain receive filter</w:t>
      </w:r>
      <w:r>
        <w:rPr>
          <w:rFonts w:hint="eastAsia"/>
        </w:rPr>
        <w:t>s</w:t>
      </w:r>
      <w:r>
        <w:t>, M=2 CSI-RS and/or SSB resources can be used for spatial multiplexing</w:t>
      </w:r>
      <w:r>
        <w:rPr>
          <w:rFonts w:hint="eastAsia"/>
        </w:rPr>
        <w:t xml:space="preserve">, as shown in </w:t>
      </w:r>
      <w:r>
        <w:t>F</w:t>
      </w:r>
      <w:r>
        <w:rPr>
          <w:rFonts w:hint="eastAsia"/>
        </w:rPr>
        <w:t xml:space="preserve">igure </w:t>
      </w:r>
      <w:r>
        <w:t>2</w:t>
      </w:r>
      <w:r>
        <w:rPr>
          <w:rFonts w:hint="eastAsia"/>
        </w:rPr>
        <w:t>(b).</w:t>
      </w:r>
    </w:p>
    <w:p>
      <w:pPr>
        <w:numPr>
          <w:ilvl w:val="255"/>
          <w:numId w:val="0"/>
        </w:numPr>
        <w:spacing w:before="120"/>
        <w:jc w:val="center"/>
      </w:pPr>
      <w:r>
        <w:object>
          <v:shape id="_x0000_i1025" o:spt="75" type="#_x0000_t75" style="height:261.35pt;width:394.35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pPr>
        <w:numPr>
          <w:ilvl w:val="255"/>
          <w:numId w:val="0"/>
        </w:numPr>
        <w:spacing w:before="120"/>
        <w:ind w:left="360"/>
        <w:jc w:val="center"/>
      </w:pPr>
      <w:r>
        <w:rPr>
          <w:rFonts w:hint="eastAsia"/>
          <w:b/>
        </w:rPr>
        <w:t xml:space="preserve">Figure </w:t>
      </w:r>
      <w:r>
        <w:rPr>
          <w:b/>
        </w:rPr>
        <w:t>2</w:t>
      </w:r>
      <w:r>
        <w:t xml:space="preserve"> Examples for simultaneous reception by the UE: (a) with a single spatial domain filter for spatial diversity; (b) with multiple spatial domain filter</w:t>
      </w:r>
      <w:r>
        <w:rPr>
          <w:rFonts w:hint="eastAsia"/>
        </w:rPr>
        <w:t>s</w:t>
      </w:r>
      <w:r>
        <w:t xml:space="preserve"> for spatial multiplexing</w:t>
      </w:r>
    </w:p>
    <w:p>
      <w:pPr>
        <w:numPr>
          <w:ilvl w:val="255"/>
          <w:numId w:val="0"/>
        </w:numPr>
        <w:spacing w:before="120"/>
      </w:pPr>
      <w:r>
        <w:rPr>
          <w:rFonts w:hint="eastAsia"/>
        </w:rPr>
        <w:t xml:space="preserve">If </w:t>
      </w:r>
      <w:r>
        <w:t xml:space="preserve">a single spatial domain receive filter is used by UE to receive M=2 CSI-RS and/or SSB resources, some restriction for subsequent data transmission need to be met. For instance, when the reception capability of the UE is up to N DL transmission layers, the total number of transmission layers from TRPs </w:t>
      </w:r>
      <w:r>
        <w:rPr>
          <w:rFonts w:hint="eastAsia"/>
        </w:rPr>
        <w:t xml:space="preserve">at </w:t>
      </w:r>
      <w:r>
        <w:t xml:space="preserve">a given </w:t>
      </w:r>
      <w:r>
        <w:rPr>
          <w:rFonts w:hint="eastAsia"/>
        </w:rPr>
        <w:t xml:space="preserve">time </w:t>
      </w:r>
      <w:r>
        <w:t>may be less than N. Thus, to inform TRP of whether 2 resources within a group/pair can be used for spatial multiplexing or diversity is important. Based on the above analysis, additional information as follows can be considered to be reported:</w:t>
      </w:r>
    </w:p>
    <w:p>
      <w:pPr>
        <w:numPr>
          <w:ilvl w:val="0"/>
          <w:numId w:val="13"/>
        </w:numPr>
        <w:spacing w:before="120"/>
        <w:ind w:left="363" w:hanging="363"/>
      </w:pPr>
      <w:r>
        <w:rPr>
          <w:rFonts w:hint="eastAsia"/>
        </w:rPr>
        <w:t xml:space="preserve">UE </w:t>
      </w:r>
      <w:r>
        <w:t xml:space="preserve">Rx </w:t>
      </w:r>
      <w:r>
        <w:rPr>
          <w:rFonts w:hint="eastAsia"/>
        </w:rPr>
        <w:t>Panel ID</w:t>
      </w:r>
      <w:r>
        <w:t xml:space="preserve"> </w:t>
      </w:r>
    </w:p>
    <w:p>
      <w:pPr>
        <w:pStyle w:val="47"/>
        <w:numPr>
          <w:ilvl w:val="1"/>
          <w:numId w:val="14"/>
        </w:numPr>
        <w:overflowPunct w:val="0"/>
        <w:autoSpaceDE w:val="0"/>
        <w:autoSpaceDN w:val="0"/>
        <w:adjustRightInd w:val="0"/>
        <w:spacing w:before="120" w:after="120"/>
        <w:textAlignment w:val="baseline"/>
      </w:pPr>
      <w:r>
        <w:rPr>
          <w:lang w:val="en-US"/>
        </w:rPr>
        <w:t>For instance, w</w:t>
      </w:r>
      <w:r>
        <w:rPr>
          <w:rFonts w:hint="eastAsia"/>
          <w:lang w:val="en-US"/>
        </w:rPr>
        <w:t xml:space="preserve">hen the same Panel ID is reported </w:t>
      </w:r>
      <w:r>
        <w:rPr>
          <w:lang w:val="en-US"/>
        </w:rPr>
        <w:t xml:space="preserve">for each SSBRI/CRI </w:t>
      </w:r>
      <w:r>
        <w:rPr>
          <w:rFonts w:hint="eastAsia" w:eastAsia="宋体"/>
          <w:lang w:val="en-US"/>
        </w:rPr>
        <w:t>in a group</w:t>
      </w:r>
      <w:r>
        <w:rPr>
          <w:rFonts w:hint="eastAsia"/>
          <w:lang w:val="en-US"/>
        </w:rPr>
        <w:t xml:space="preserve">/pair, 2 </w:t>
      </w:r>
      <w:r>
        <w:rPr>
          <w:lang w:val="en-US"/>
        </w:rPr>
        <w:t xml:space="preserve">Tx beams corresponding to the </w:t>
      </w:r>
      <w:r>
        <w:rPr>
          <w:rFonts w:hint="eastAsia"/>
          <w:lang w:val="en-US"/>
        </w:rPr>
        <w:t xml:space="preserve">group/pair </w:t>
      </w:r>
      <w:r>
        <w:rPr>
          <w:lang w:val="en-US"/>
        </w:rPr>
        <w:t>just can</w:t>
      </w:r>
      <w:r>
        <w:rPr>
          <w:rFonts w:hint="eastAsia"/>
          <w:lang w:val="en-US"/>
        </w:rPr>
        <w:t xml:space="preserve"> be used for </w:t>
      </w:r>
      <w:r>
        <w:t>spatial diversity</w:t>
      </w:r>
      <w:r>
        <w:rPr>
          <w:rFonts w:hint="eastAsia"/>
          <w:lang w:val="en-US"/>
        </w:rPr>
        <w:t>.</w:t>
      </w:r>
    </w:p>
    <w:p>
      <w:pPr>
        <w:numPr>
          <w:ilvl w:val="0"/>
          <w:numId w:val="13"/>
        </w:numPr>
        <w:spacing w:before="120"/>
        <w:ind w:left="363" w:hanging="363"/>
      </w:pPr>
      <w:r>
        <w:t xml:space="preserve">Maximum number of DL </w:t>
      </w:r>
      <w:r>
        <w:rPr>
          <w:rFonts w:hint="eastAsia"/>
        </w:rPr>
        <w:t>transmission</w:t>
      </w:r>
      <w:r>
        <w:t xml:space="preserve"> layers</w:t>
      </w:r>
    </w:p>
    <w:p>
      <w:pPr>
        <w:pStyle w:val="47"/>
        <w:numPr>
          <w:ilvl w:val="1"/>
          <w:numId w:val="14"/>
        </w:numPr>
        <w:overflowPunct w:val="0"/>
        <w:autoSpaceDE w:val="0"/>
        <w:autoSpaceDN w:val="0"/>
        <w:adjustRightInd w:val="0"/>
        <w:spacing w:before="120" w:after="120"/>
        <w:textAlignment w:val="baseline"/>
      </w:pPr>
      <w:r>
        <w:t xml:space="preserve">For instance, </w:t>
      </w:r>
      <w:r>
        <w:rPr>
          <w:rFonts w:hint="eastAsia"/>
        </w:rPr>
        <w:t xml:space="preserve">UE can report </w:t>
      </w:r>
      <w:r>
        <w:t xml:space="preserve">the maximum number of </w:t>
      </w:r>
      <w:r>
        <w:rPr>
          <w:rFonts w:hint="eastAsia"/>
        </w:rPr>
        <w:t>transmission</w:t>
      </w:r>
      <w:r>
        <w:t xml:space="preserve"> layers</w:t>
      </w:r>
      <w:r>
        <w:rPr>
          <w:rFonts w:hint="eastAsia"/>
        </w:rPr>
        <w:t xml:space="preserve"> along with each CRI/SSBRI (</w:t>
      </w:r>
      <w:r>
        <w:t xml:space="preserve">e.g., to </w:t>
      </w:r>
      <w:r>
        <w:rPr>
          <w:rFonts w:hint="eastAsia"/>
        </w:rPr>
        <w:t>limit transmission layers for each TRP)</w:t>
      </w:r>
      <w:r>
        <w:t xml:space="preserve">, or the maximum number of </w:t>
      </w:r>
      <w:r>
        <w:rPr>
          <w:rFonts w:hint="eastAsia"/>
        </w:rPr>
        <w:t>transmission</w:t>
      </w:r>
      <w:r>
        <w:t xml:space="preserve"> layers</w:t>
      </w:r>
      <w:r>
        <w:rPr>
          <w:rFonts w:hint="eastAsia"/>
        </w:rPr>
        <w:t xml:space="preserve"> along with each group (</w:t>
      </w:r>
      <w:r>
        <w:t xml:space="preserve">e.g., to </w:t>
      </w:r>
      <w:r>
        <w:rPr>
          <w:rFonts w:hint="eastAsia"/>
        </w:rPr>
        <w:t>limit total transmission layers for all TRPs).</w:t>
      </w:r>
    </w:p>
    <w:p>
      <w:pPr>
        <w:numPr>
          <w:ilvl w:val="0"/>
          <w:numId w:val="13"/>
        </w:numPr>
        <w:spacing w:before="120"/>
        <w:ind w:left="363" w:hanging="363"/>
      </w:pPr>
      <w:r>
        <w:rPr>
          <w:rFonts w:hint="eastAsia"/>
        </w:rPr>
        <w:t xml:space="preserve">A flag for </w:t>
      </w:r>
      <w:r>
        <w:t xml:space="preserve">whether </w:t>
      </w:r>
      <w:r>
        <w:rPr>
          <w:rFonts w:hint="eastAsia"/>
        </w:rPr>
        <w:t>2 resources within a group/pair can be used for spatial multiplexing or diversity</w:t>
      </w:r>
    </w:p>
    <w:p>
      <w:pPr>
        <w:numPr>
          <w:ilvl w:val="255"/>
          <w:numId w:val="0"/>
        </w:numPr>
        <w:overflowPunct w:val="0"/>
        <w:autoSpaceDE w:val="0"/>
        <w:autoSpaceDN w:val="0"/>
        <w:adjustRightInd w:val="0"/>
        <w:spacing w:before="120"/>
        <w:textAlignment w:val="baseline"/>
      </w:pPr>
      <w:r>
        <w:rPr>
          <w:rFonts w:hint="eastAsia"/>
        </w:rPr>
        <w:t xml:space="preserve">In addition, considering that although a UE has multiple panels, only one UL panel can be </w:t>
      </w:r>
      <w:r>
        <w:t>active</w:t>
      </w:r>
      <w:r>
        <w:rPr>
          <w:rFonts w:hint="eastAsia"/>
        </w:rPr>
        <w:t xml:space="preserve"> for UL transmission. So, for Option 2 (beam group based reporting), 2 resources can be reported in one group, we also need </w:t>
      </w:r>
      <w:r>
        <w:t xml:space="preserve">to further </w:t>
      </w:r>
      <w:r>
        <w:rPr>
          <w:rFonts w:hint="eastAsia"/>
        </w:rPr>
        <w:t>indicate which RS can be used for UL transmission.</w:t>
      </w:r>
    </w:p>
    <w:p>
      <w:pPr>
        <w:numPr>
          <w:ilvl w:val="255"/>
          <w:numId w:val="0"/>
        </w:numPr>
        <w:overflowPunct w:val="0"/>
        <w:autoSpaceDE w:val="0"/>
        <w:autoSpaceDN w:val="0"/>
        <w:adjustRightInd w:val="0"/>
        <w:spacing w:before="120"/>
        <w:textAlignment w:val="baseline"/>
        <w:rPr>
          <w:i/>
          <w:iCs/>
        </w:rPr>
      </w:pPr>
      <w:r>
        <w:rPr>
          <w:b/>
          <w:i/>
        </w:rPr>
        <w:t xml:space="preserve">Proposal </w:t>
      </w:r>
      <w:r>
        <w:rPr>
          <w:rFonts w:hint="eastAsia"/>
          <w:b/>
          <w:i/>
        </w:rPr>
        <w:t>2</w:t>
      </w:r>
      <w:r>
        <w:rPr>
          <w:b/>
          <w:i/>
        </w:rPr>
        <w:t xml:space="preserve">: </w:t>
      </w:r>
      <w:r>
        <w:rPr>
          <w:i/>
          <w:iCs/>
        </w:rPr>
        <w:t xml:space="preserve">Along with </w:t>
      </w:r>
      <w:r>
        <w:rPr>
          <w:i/>
        </w:rPr>
        <w:t>CRI</w:t>
      </w:r>
      <w:r>
        <w:rPr>
          <w:i/>
          <w:iCs/>
        </w:rPr>
        <w:t>/SSBRI report, a</w:t>
      </w:r>
      <w:r>
        <w:rPr>
          <w:i/>
        </w:rPr>
        <w:t xml:space="preserve">dditional </w:t>
      </w:r>
      <w:r>
        <w:rPr>
          <w:i/>
          <w:iCs/>
        </w:rPr>
        <w:t xml:space="preserve">information for </w:t>
      </w:r>
      <w:r>
        <w:rPr>
          <w:rFonts w:hint="eastAsia"/>
          <w:i/>
          <w:iCs/>
        </w:rPr>
        <w:t>Option</w:t>
      </w:r>
      <w:r>
        <w:rPr>
          <w:i/>
          <w:iCs/>
        </w:rPr>
        <w:t xml:space="preserve"> </w:t>
      </w:r>
      <w:r>
        <w:rPr>
          <w:rFonts w:hint="eastAsia"/>
          <w:i/>
          <w:iCs/>
        </w:rPr>
        <w:t>2 (beam group based reporting)</w:t>
      </w:r>
      <w:r>
        <w:rPr>
          <w:i/>
          <w:iCs/>
        </w:rPr>
        <w:t xml:space="preserve"> </w:t>
      </w:r>
      <w:r>
        <w:rPr>
          <w:rFonts w:hint="eastAsia"/>
          <w:i/>
          <w:iCs/>
        </w:rPr>
        <w:t xml:space="preserve">should be </w:t>
      </w:r>
      <w:r>
        <w:rPr>
          <w:i/>
          <w:iCs/>
        </w:rPr>
        <w:t>considered for facilitating CSI measurement and subsequent DL/UL transmission.</w:t>
      </w:r>
    </w:p>
    <w:p>
      <w:pPr>
        <w:numPr>
          <w:ilvl w:val="0"/>
          <w:numId w:val="11"/>
        </w:numPr>
        <w:spacing w:before="120" w:after="0"/>
        <w:rPr>
          <w:i/>
          <w:iCs/>
        </w:rPr>
      </w:pPr>
      <w:r>
        <w:rPr>
          <w:i/>
          <w:iCs/>
        </w:rPr>
        <w:t>UE can further indicate whether two beams within a group/pair can be used for spatial multiplexing or diversity</w:t>
      </w:r>
    </w:p>
    <w:p>
      <w:pPr>
        <w:numPr>
          <w:ilvl w:val="1"/>
          <w:numId w:val="11"/>
        </w:numPr>
        <w:spacing w:before="120" w:after="0"/>
        <w:rPr>
          <w:i/>
          <w:iCs/>
        </w:rPr>
      </w:pPr>
      <w:r>
        <w:rPr>
          <w:i/>
          <w:iCs/>
        </w:rPr>
        <w:t>If being indicated for spatial diversity, the total number of transmission layers by using the two beams should be limited, e.g., up to additional UE capability reporting.</w:t>
      </w:r>
    </w:p>
    <w:p>
      <w:pPr>
        <w:numPr>
          <w:ilvl w:val="0"/>
          <w:numId w:val="11"/>
        </w:numPr>
        <w:spacing w:before="120" w:after="0"/>
        <w:rPr>
          <w:i/>
          <w:iCs/>
        </w:rPr>
      </w:pPr>
      <w:r>
        <w:rPr>
          <w:i/>
          <w:iCs/>
        </w:rPr>
        <w:t>UE can further indicate which RS can be used for UL transmission considering that only one UL panel can be active for UL transmission.</w:t>
      </w:r>
    </w:p>
    <w:p>
      <w:pPr>
        <w:numPr>
          <w:ilvl w:val="1"/>
          <w:numId w:val="6"/>
        </w:numPr>
        <w:tabs>
          <w:tab w:val="clear" w:pos="576"/>
        </w:tabs>
        <w:snapToGrid w:val="0"/>
        <w:spacing w:before="120" w:afterLines="50"/>
        <w:ind w:left="567" w:hanging="567"/>
        <w:outlineLvl w:val="1"/>
        <w:rPr>
          <w:b/>
          <w:sz w:val="28"/>
        </w:rPr>
      </w:pPr>
      <w:r>
        <w:rPr>
          <w:b/>
          <w:sz w:val="28"/>
        </w:rPr>
        <w:t>CSI framework for multi-TRP based beam measurement</w:t>
      </w:r>
    </w:p>
    <w:p>
      <w:pPr>
        <w:overflowPunct w:val="0"/>
        <w:autoSpaceDE w:val="0"/>
        <w:autoSpaceDN w:val="0"/>
        <w:adjustRightInd w:val="0"/>
        <w:spacing w:before="120"/>
        <w:textAlignment w:val="baseline"/>
        <w:rPr>
          <w:rFonts w:eastAsia="微软雅黑"/>
          <w:lang w:val="en-GB"/>
        </w:rPr>
      </w:pPr>
      <w:r>
        <w:t>Information on simultaneous transmission capability from each of TRP can be indicated for the assist of DL beam determination in UE reporting and for facilitating inter-TRP beam pairing. In general, according to the discussion in RAN1</w:t>
      </w:r>
      <w:r>
        <w:rPr>
          <w:rFonts w:hint="eastAsia"/>
        </w:rPr>
        <w:t xml:space="preserve">#105-e and </w:t>
      </w:r>
      <w:r>
        <w:t>RAN1</w:t>
      </w:r>
      <w:r>
        <w:rPr>
          <w:rFonts w:hint="eastAsia"/>
        </w:rPr>
        <w:t>#106-e</w:t>
      </w:r>
      <w:r>
        <w:t xml:space="preserve">, </w:t>
      </w:r>
      <w:r>
        <w:rPr>
          <w:rFonts w:eastAsia="微软雅黑"/>
          <w:lang w:val="en-GB"/>
        </w:rPr>
        <w:t xml:space="preserve">the following agreement on </w:t>
      </w:r>
      <w:r>
        <w:t>CMR resource configuration</w:t>
      </w:r>
      <w:r>
        <w:rPr>
          <w:rFonts w:eastAsia="微软雅黑"/>
          <w:lang w:val="en-GB"/>
        </w:rPr>
        <w:t xml:space="preserve"> </w:t>
      </w:r>
      <w:r>
        <w:rPr>
          <w:rFonts w:hint="eastAsia" w:eastAsia="微软雅黑"/>
        </w:rPr>
        <w:t xml:space="preserve">for Option 2 (beam group based reporting) </w:t>
      </w:r>
      <w:r>
        <w:rPr>
          <w:rFonts w:eastAsia="微软雅黑"/>
        </w:rPr>
        <w:t>has been reached</w:t>
      </w:r>
      <w:r>
        <w:rPr>
          <w:rFonts w:eastAsia="微软雅黑"/>
          <w:lang w:val="en-GB"/>
        </w:rPr>
        <w:t xml:space="preserve">.  </w:t>
      </w:r>
    </w:p>
    <w:tbl>
      <w:tblPr>
        <w:tblStyle w:val="24"/>
        <w:tblW w:w="94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pacing w:before="0" w:beforeLines="0" w:after="0" w:line="240" w:lineRule="auto"/>
              <w:rPr>
                <w:b/>
                <w:u w:val="single"/>
              </w:rPr>
            </w:pPr>
            <w:r>
              <w:rPr>
                <w:rFonts w:hint="eastAsia"/>
                <w:b/>
                <w:u w:val="single"/>
              </w:rPr>
              <w:t>A</w:t>
            </w:r>
            <w:r>
              <w:rPr>
                <w:b/>
                <w:u w:val="single"/>
              </w:rPr>
              <w:t>greement</w:t>
            </w:r>
          </w:p>
          <w:p>
            <w:pPr>
              <w:pStyle w:val="113"/>
              <w:snapToGrid w:val="0"/>
              <w:spacing w:before="120" w:after="0"/>
              <w:ind w:firstLine="0" w:firstLineChars="0"/>
            </w:pPr>
            <w:r>
              <w:t xml:space="preserve">On CMR resource configuration for beam reporting option 2, adopt the following alternative: </w:t>
            </w:r>
          </w:p>
          <w:p>
            <w:pPr>
              <w:numPr>
                <w:ilvl w:val="0"/>
                <w:numId w:val="15"/>
              </w:numPr>
              <w:snapToGrid w:val="0"/>
              <w:spacing w:beforeLines="0" w:after="0" w:line="240" w:lineRule="auto"/>
              <w:jc w:val="left"/>
              <w:rPr>
                <w:rFonts w:eastAsia="等线" w:cs="Times"/>
                <w:bCs/>
                <w:iCs/>
                <w:kern w:val="32"/>
                <w:szCs w:val="22"/>
              </w:rPr>
            </w:pPr>
            <w:r>
              <w:rPr>
                <w:rFonts w:eastAsia="等线" w:cs="Times"/>
                <w:bCs/>
                <w:iCs/>
                <w:kern w:val="32"/>
                <w:szCs w:val="22"/>
              </w:rPr>
              <w:t>Two CMR resource sets or subsets, per periodic/semi-persistent CMR resource setting</w:t>
            </w:r>
          </w:p>
          <w:p>
            <w:pPr>
              <w:numPr>
                <w:ilvl w:val="1"/>
                <w:numId w:val="15"/>
              </w:numPr>
              <w:snapToGrid w:val="0"/>
              <w:spacing w:beforeLines="0" w:after="0" w:line="240" w:lineRule="auto"/>
              <w:jc w:val="left"/>
              <w:rPr>
                <w:rFonts w:eastAsia="等线" w:cs="Times"/>
                <w:bCs/>
                <w:iCs/>
                <w:kern w:val="32"/>
                <w:szCs w:val="22"/>
              </w:rPr>
            </w:pPr>
            <w:r>
              <w:rPr>
                <w:rFonts w:eastAsia="等线" w:cs="Times"/>
                <w:bCs/>
                <w:iCs/>
                <w:kern w:val="32"/>
                <w:szCs w:val="22"/>
              </w:rPr>
              <w:t xml:space="preserve">FFS: extension to aperiodic CMR resource setting </w:t>
            </w:r>
          </w:p>
          <w:p>
            <w:pPr>
              <w:numPr>
                <w:ilvl w:val="0"/>
                <w:numId w:val="15"/>
              </w:numPr>
              <w:snapToGrid w:val="0"/>
              <w:spacing w:beforeLines="0" w:after="0" w:line="240" w:lineRule="auto"/>
              <w:jc w:val="left"/>
              <w:rPr>
                <w:rFonts w:eastAsia="等线" w:cs="Times"/>
                <w:bCs/>
                <w:iCs/>
                <w:kern w:val="32"/>
                <w:szCs w:val="22"/>
              </w:rPr>
            </w:pPr>
            <w:r>
              <w:rPr>
                <w:rFonts w:eastAsia="等线" w:cs="Times"/>
                <w:bCs/>
                <w:iCs/>
                <w:kern w:val="32"/>
                <w:szCs w:val="22"/>
              </w:rPr>
              <w:t>Each reported beam pair in a single CSI-report consists of M = 2 SSB-RI / CRI values, where each SSB-RI / CRI points to a CMR resource in a different CMR resource set or subset.</w:t>
            </w:r>
          </w:p>
          <w:p>
            <w:pPr>
              <w:numPr>
                <w:ilvl w:val="0"/>
                <w:numId w:val="15"/>
              </w:numPr>
              <w:snapToGrid w:val="0"/>
              <w:spacing w:beforeLines="0" w:line="240" w:lineRule="auto"/>
              <w:ind w:left="714" w:hanging="357"/>
              <w:jc w:val="left"/>
              <w:rPr>
                <w:rFonts w:eastAsia="等线" w:cs="Times"/>
                <w:bCs/>
                <w:iCs/>
                <w:kern w:val="32"/>
                <w:szCs w:val="22"/>
              </w:rPr>
            </w:pPr>
            <w:r>
              <w:rPr>
                <w:rFonts w:eastAsia="等线" w:cs="Times"/>
                <w:bCs/>
                <w:iCs/>
                <w:kern w:val="32"/>
                <w:szCs w:val="22"/>
              </w:rPr>
              <w:t xml:space="preserve">Decide in RAN1#104b-e whether to adopt “set” or “subset” in the above. </w:t>
            </w:r>
          </w:p>
          <w:p>
            <w:pPr>
              <w:numPr>
                <w:ilvl w:val="255"/>
                <w:numId w:val="0"/>
              </w:numPr>
              <w:spacing w:before="0" w:beforeLines="0" w:after="0" w:line="240" w:lineRule="auto"/>
              <w:rPr>
                <w:b/>
                <w:u w:val="single"/>
              </w:rPr>
            </w:pPr>
            <w:r>
              <w:rPr>
                <w:rFonts w:hint="eastAsia"/>
                <w:b/>
                <w:u w:val="single"/>
              </w:rPr>
              <w:t>Agreement</w:t>
            </w:r>
          </w:p>
          <w:p>
            <w:pPr>
              <w:pStyle w:val="113"/>
              <w:snapToGrid w:val="0"/>
              <w:spacing w:before="120" w:after="0"/>
              <w:ind w:firstLine="0" w:firstLineChars="0"/>
            </w:pPr>
            <w:r>
              <w:t xml:space="preserve">For aperiodic report of beam reporting option 2, </w:t>
            </w:r>
          </w:p>
          <w:p>
            <w:pPr>
              <w:numPr>
                <w:ilvl w:val="0"/>
                <w:numId w:val="15"/>
              </w:numPr>
              <w:snapToGrid w:val="0"/>
              <w:spacing w:beforeLines="0" w:after="0"/>
              <w:ind w:left="726" w:hanging="363"/>
              <w:jc w:val="left"/>
              <w:rPr>
                <w:rFonts w:eastAsia="等线" w:cs="Times"/>
                <w:bCs/>
                <w:iCs/>
                <w:kern w:val="32"/>
                <w:szCs w:val="22"/>
              </w:rPr>
            </w:pPr>
            <w:r>
              <w:rPr>
                <w:rFonts w:eastAsia="等线" w:cs="Times"/>
                <w:bCs/>
                <w:iCs/>
                <w:kern w:val="32"/>
                <w:szCs w:val="22"/>
              </w:rPr>
              <w:t xml:space="preserve">When associated with aperiodic resource setting, extend the existing RRC parameter </w:t>
            </w:r>
            <w:r>
              <w:rPr>
                <w:rFonts w:eastAsia="等线" w:cs="Times"/>
                <w:bCs/>
                <w:i/>
                <w:kern w:val="32"/>
                <w:szCs w:val="22"/>
              </w:rPr>
              <w:t>CSI-AssociatedReportConfigInfo</w:t>
            </w:r>
            <w:r>
              <w:rPr>
                <w:rFonts w:eastAsia="等线" w:cs="Times"/>
                <w:bCs/>
                <w:iCs/>
                <w:kern w:val="32"/>
                <w:szCs w:val="22"/>
              </w:rPr>
              <w:t xml:space="preserve"> to be configured with two CMR resource sets where each may be configured with their corresponding QCL information.</w:t>
            </w:r>
          </w:p>
          <w:p>
            <w:pPr>
              <w:numPr>
                <w:ilvl w:val="1"/>
                <w:numId w:val="15"/>
              </w:numPr>
              <w:snapToGrid w:val="0"/>
              <w:spacing w:beforeLines="0" w:after="0" w:line="240" w:lineRule="auto"/>
              <w:jc w:val="left"/>
              <w:rPr>
                <w:rFonts w:eastAsia="等线" w:cs="Times"/>
                <w:bCs/>
                <w:iCs/>
                <w:kern w:val="32"/>
                <w:szCs w:val="22"/>
              </w:rPr>
            </w:pPr>
            <w:r>
              <w:rPr>
                <w:rFonts w:eastAsia="等线" w:cs="Times"/>
                <w:bCs/>
                <w:iCs/>
                <w:kern w:val="32"/>
                <w:szCs w:val="22"/>
              </w:rPr>
              <w:t xml:space="preserve">FFS: Detailed association scheme </w:t>
            </w:r>
          </w:p>
          <w:p>
            <w:pPr>
              <w:numPr>
                <w:ilvl w:val="0"/>
                <w:numId w:val="15"/>
              </w:numPr>
              <w:snapToGrid w:val="0"/>
              <w:spacing w:beforeLines="0" w:after="0"/>
              <w:ind w:left="726" w:hanging="363"/>
              <w:jc w:val="left"/>
              <w:rPr>
                <w:rFonts w:eastAsia="等线" w:cs="Times"/>
                <w:bCs/>
                <w:iCs/>
                <w:kern w:val="32"/>
                <w:szCs w:val="22"/>
              </w:rPr>
            </w:pPr>
            <w:r>
              <w:rPr>
                <w:rFonts w:eastAsia="等线" w:cs="Times"/>
                <w:bCs/>
                <w:iCs/>
                <w:kern w:val="32"/>
                <w:szCs w:val="22"/>
              </w:rPr>
              <w:t xml:space="preserve">When associated with periodic/semi-persist resource setting, the resource setting comprises two CMR resource sets. </w:t>
            </w:r>
          </w:p>
          <w:p>
            <w:pPr>
              <w:pStyle w:val="47"/>
              <w:numPr>
                <w:ilvl w:val="255"/>
                <w:numId w:val="0"/>
              </w:numPr>
              <w:snapToGrid w:val="0"/>
              <w:spacing w:before="0" w:beforeLines="0" w:after="0" w:line="240" w:lineRule="auto"/>
              <w:rPr>
                <w:rFonts w:cs="Times"/>
                <w:sz w:val="2"/>
                <w:szCs w:val="2"/>
                <w:lang w:val="en-US"/>
              </w:rPr>
            </w:pPr>
          </w:p>
        </w:tc>
      </w:tr>
    </w:tbl>
    <w:p>
      <w:pPr>
        <w:spacing w:before="120" w:after="0"/>
      </w:pPr>
      <w:r>
        <w:rPr>
          <w:rFonts w:hint="eastAsia"/>
        </w:rPr>
        <w:t xml:space="preserve">Since the configuration of 2 CMR resource sets has been agreed, the parameter configuration between </w:t>
      </w:r>
      <w:r>
        <w:t xml:space="preserve">the </w:t>
      </w:r>
      <w:r>
        <w:rPr>
          <w:rFonts w:hint="eastAsia"/>
        </w:rPr>
        <w:t xml:space="preserve">sets should be further considered. </w:t>
      </w:r>
    </w:p>
    <w:p>
      <w:pPr>
        <w:numPr>
          <w:ilvl w:val="0"/>
          <w:numId w:val="13"/>
        </w:numPr>
        <w:spacing w:before="120" w:after="0"/>
        <w:ind w:left="363" w:hanging="363"/>
        <w:rPr>
          <w:i/>
          <w:iCs/>
        </w:rPr>
      </w:pPr>
      <w:r>
        <w:rPr>
          <w:rFonts w:hint="eastAsia"/>
          <w:i/>
          <w:iCs/>
        </w:rPr>
        <w:t>Repetition</w:t>
      </w:r>
    </w:p>
    <w:p>
      <w:pPr>
        <w:pStyle w:val="47"/>
        <w:numPr>
          <w:ilvl w:val="1"/>
          <w:numId w:val="14"/>
        </w:numPr>
        <w:overflowPunct w:val="0"/>
        <w:autoSpaceDE w:val="0"/>
        <w:autoSpaceDN w:val="0"/>
        <w:adjustRightInd w:val="0"/>
        <w:spacing w:before="120" w:after="120"/>
        <w:textAlignment w:val="baseline"/>
        <w:rPr>
          <w:lang w:val="en-US"/>
        </w:rPr>
      </w:pPr>
      <w:r>
        <w:rPr>
          <w:rFonts w:hint="eastAsia"/>
          <w:lang w:eastAsia="sv-SE"/>
        </w:rPr>
        <w:t xml:space="preserve"> </w:t>
      </w:r>
      <w:r>
        <w:rPr>
          <w:lang w:val="en-US" w:eastAsia="sv-SE"/>
        </w:rPr>
        <w:t>If the field is set to off or if the field is absent, the UE may not assume that the NZP-CSI-RS resources within the resource set are transmitted with the same downlink spatial domain transmission filter</w:t>
      </w:r>
      <w:r>
        <w:rPr>
          <w:lang w:val="en-US"/>
        </w:rPr>
        <w:t>.</w:t>
      </w:r>
    </w:p>
    <w:p>
      <w:pPr>
        <w:pStyle w:val="47"/>
        <w:numPr>
          <w:ilvl w:val="1"/>
          <w:numId w:val="14"/>
        </w:numPr>
        <w:overflowPunct w:val="0"/>
        <w:autoSpaceDE w:val="0"/>
        <w:autoSpaceDN w:val="0"/>
        <w:adjustRightInd w:val="0"/>
        <w:spacing w:before="120" w:after="120"/>
        <w:textAlignment w:val="baseline"/>
        <w:rPr>
          <w:lang w:val="en-US"/>
        </w:rPr>
      </w:pPr>
      <w:r>
        <w:rPr>
          <w:lang w:val="en-US"/>
        </w:rPr>
        <w:t>Since the resources in the sets are used for measuring the channel quality of different beams, this function that the resource set</w:t>
      </w:r>
      <w:r>
        <w:rPr>
          <w:rFonts w:hint="eastAsia" w:eastAsia="宋体"/>
          <w:lang w:val="en-US"/>
        </w:rPr>
        <w:t>s</w:t>
      </w:r>
      <w:r>
        <w:rPr>
          <w:lang w:val="en-US"/>
        </w:rPr>
        <w:t xml:space="preserve"> are transmitted with the same downlink spatial domain transmission filter should not be enabled. The parameter repetition of each set/ should be set to </w:t>
      </w:r>
      <w:r>
        <w:rPr>
          <w:lang w:val="en-US" w:eastAsia="sv-SE"/>
        </w:rPr>
        <w:t xml:space="preserve">to off or </w:t>
      </w:r>
      <w:r>
        <w:rPr>
          <w:lang w:val="en-US"/>
        </w:rPr>
        <w:t>not be configured.</w:t>
      </w:r>
    </w:p>
    <w:p>
      <w:pPr>
        <w:numPr>
          <w:ilvl w:val="0"/>
          <w:numId w:val="13"/>
        </w:numPr>
        <w:spacing w:before="120" w:after="0"/>
        <w:ind w:left="363" w:hanging="363"/>
        <w:rPr>
          <w:i/>
          <w:iCs/>
        </w:rPr>
      </w:pPr>
      <w:r>
        <w:rPr>
          <w:rFonts w:hint="eastAsia"/>
          <w:i/>
          <w:iCs/>
        </w:rPr>
        <w:t>aperiodicTriggeringOffset</w:t>
      </w:r>
    </w:p>
    <w:p>
      <w:pPr>
        <w:pStyle w:val="47"/>
        <w:numPr>
          <w:ilvl w:val="1"/>
          <w:numId w:val="14"/>
        </w:numPr>
        <w:overflowPunct w:val="0"/>
        <w:autoSpaceDE w:val="0"/>
        <w:autoSpaceDN w:val="0"/>
        <w:adjustRightInd w:val="0"/>
        <w:spacing w:before="120" w:after="120"/>
        <w:textAlignment w:val="baseline"/>
        <w:rPr>
          <w:lang w:eastAsia="sv-SE"/>
        </w:rPr>
      </w:pPr>
      <w:r>
        <w:rPr>
          <w:rFonts w:hint="eastAsia"/>
          <w:lang w:eastAsia="sv-SE"/>
        </w:rPr>
        <w:t>Offset X between the slot containing the DCI that triggers a set of aperiodic NZP CSI-RS resources and the slot in which the CSI-RS resource set is transmitted.</w:t>
      </w:r>
    </w:p>
    <w:p>
      <w:pPr>
        <w:pStyle w:val="47"/>
        <w:numPr>
          <w:ilvl w:val="1"/>
          <w:numId w:val="14"/>
        </w:numPr>
        <w:overflowPunct w:val="0"/>
        <w:autoSpaceDE w:val="0"/>
        <w:autoSpaceDN w:val="0"/>
        <w:adjustRightInd w:val="0"/>
        <w:spacing w:before="120" w:after="120"/>
        <w:textAlignment w:val="baseline"/>
        <w:rPr>
          <w:lang w:val="en-US" w:eastAsia="sv-SE"/>
        </w:rPr>
      </w:pPr>
      <w:r>
        <w:rPr>
          <w:rFonts w:hint="eastAsia"/>
          <w:lang w:val="en-US" w:eastAsia="sv-SE"/>
        </w:rPr>
        <w:t xml:space="preserve">In the </w:t>
      </w:r>
      <w:r>
        <w:rPr>
          <w:lang w:val="en-US" w:eastAsia="sv-SE"/>
        </w:rPr>
        <w:t>mTRP</w:t>
      </w:r>
      <w:r>
        <w:rPr>
          <w:rFonts w:hint="eastAsia"/>
          <w:lang w:val="en-US" w:eastAsia="sv-SE"/>
        </w:rPr>
        <w:t xml:space="preserve"> scenario, different offset should be configured for each set to avoid collision</w:t>
      </w:r>
      <w:r>
        <w:rPr>
          <w:rFonts w:hint="eastAsia" w:eastAsia="宋体"/>
          <w:lang w:val="en-US"/>
        </w:rPr>
        <w:t xml:space="preserve"> in the same slot</w:t>
      </w:r>
      <w:r>
        <w:rPr>
          <w:rFonts w:hint="eastAsia"/>
          <w:lang w:val="en-US" w:eastAsia="sv-SE"/>
        </w:rPr>
        <w:t>.</w:t>
      </w:r>
    </w:p>
    <w:p>
      <w:pPr>
        <w:pStyle w:val="47"/>
        <w:numPr>
          <w:ilvl w:val="255"/>
          <w:numId w:val="0"/>
        </w:numPr>
        <w:overflowPunct w:val="0"/>
        <w:autoSpaceDE w:val="0"/>
        <w:autoSpaceDN w:val="0"/>
        <w:adjustRightInd w:val="0"/>
        <w:spacing w:before="120" w:after="120"/>
        <w:textAlignment w:val="baseline"/>
        <w:rPr>
          <w:lang w:val="en-US" w:eastAsia="sv-SE"/>
        </w:rPr>
      </w:pPr>
      <w:r>
        <w:rPr>
          <w:rFonts w:hint="eastAsia" w:eastAsia="宋体"/>
          <w:lang w:val="en-US"/>
        </w:rPr>
        <w:t>In addition, due to the configuration of multiple CMR resource sets, the CPU calculation of CSI should be further studied.</w:t>
      </w:r>
    </w:p>
    <w:p>
      <w:pPr>
        <w:numPr>
          <w:ilvl w:val="255"/>
          <w:numId w:val="0"/>
        </w:numPr>
        <w:spacing w:before="120" w:after="0"/>
        <w:rPr>
          <w:i/>
          <w:iCs/>
        </w:rPr>
      </w:pPr>
      <w:r>
        <w:rPr>
          <w:b/>
          <w:i/>
        </w:rPr>
        <w:t xml:space="preserve">Proposal </w:t>
      </w:r>
      <w:r>
        <w:rPr>
          <w:rFonts w:hint="eastAsia"/>
          <w:b/>
          <w:i/>
        </w:rPr>
        <w:t>3</w:t>
      </w:r>
      <w:r>
        <w:rPr>
          <w:b/>
          <w:i/>
        </w:rPr>
        <w:t>:</w:t>
      </w:r>
      <w:r>
        <w:rPr>
          <w:i/>
        </w:rPr>
        <w:t xml:space="preserve"> </w:t>
      </w:r>
      <w:r>
        <w:rPr>
          <w:rFonts w:hint="eastAsia"/>
          <w:i/>
        </w:rPr>
        <w:t>The RRC parameter configuration between 2 CMR resource</w:t>
      </w:r>
      <w:r>
        <w:rPr>
          <w:i/>
        </w:rPr>
        <w:t xml:space="preserve"> </w:t>
      </w:r>
      <w:r>
        <w:rPr>
          <w:rFonts w:hint="eastAsia"/>
          <w:i/>
        </w:rPr>
        <w:t>sets and the CPU calculation of CSI should be further considered.</w:t>
      </w:r>
    </w:p>
    <w:p>
      <w:pPr>
        <w:numPr>
          <w:ilvl w:val="0"/>
          <w:numId w:val="13"/>
        </w:numPr>
        <w:spacing w:before="120" w:after="0"/>
        <w:ind w:left="363" w:hanging="363"/>
        <w:rPr>
          <w:i/>
          <w:iCs/>
        </w:rPr>
      </w:pPr>
      <w:r>
        <w:rPr>
          <w:rFonts w:hint="eastAsia"/>
          <w:i/>
        </w:rPr>
        <w:t>repetition from different sets should be configured with same value</w:t>
      </w:r>
      <w:r>
        <w:rPr>
          <w:i/>
        </w:rPr>
        <w:t>.</w:t>
      </w:r>
    </w:p>
    <w:p>
      <w:pPr>
        <w:numPr>
          <w:ilvl w:val="0"/>
          <w:numId w:val="13"/>
        </w:numPr>
        <w:spacing w:before="120" w:after="0"/>
        <w:ind w:left="363" w:hanging="363"/>
        <w:rPr>
          <w:i/>
          <w:iCs/>
        </w:rPr>
      </w:pPr>
      <w:r>
        <w:rPr>
          <w:rFonts w:hint="eastAsia"/>
          <w:i/>
          <w:iCs/>
        </w:rPr>
        <w:t>aperiodicTriggeringOffset</w:t>
      </w:r>
      <w:r>
        <w:rPr>
          <w:rFonts w:hint="eastAsia"/>
          <w:i/>
        </w:rPr>
        <w:t xml:space="preserve"> from different sets </w:t>
      </w:r>
      <w:r>
        <w:rPr>
          <w:i/>
        </w:rPr>
        <w:t>can</w:t>
      </w:r>
      <w:r>
        <w:rPr>
          <w:rFonts w:hint="eastAsia"/>
          <w:i/>
        </w:rPr>
        <w:t xml:space="preserve"> be configured with different value(s)</w:t>
      </w:r>
      <w:r>
        <w:rPr>
          <w:i/>
        </w:rPr>
        <w:t>.</w:t>
      </w:r>
    </w:p>
    <w:p>
      <w:pPr>
        <w:numPr>
          <w:ilvl w:val="0"/>
          <w:numId w:val="6"/>
        </w:numPr>
        <w:tabs>
          <w:tab w:val="clear" w:pos="432"/>
        </w:tabs>
        <w:snapToGrid w:val="0"/>
        <w:spacing w:before="120" w:afterLines="50"/>
        <w:ind w:left="425" w:hanging="425"/>
        <w:outlineLvl w:val="0"/>
        <w:rPr>
          <w:b/>
          <w:sz w:val="28"/>
          <w:szCs w:val="28"/>
        </w:rPr>
      </w:pPr>
      <w:r>
        <w:rPr>
          <w:b/>
          <w:sz w:val="28"/>
          <w:szCs w:val="28"/>
        </w:rPr>
        <w:t>Enhancement(s) on TRP-specific beam failure recovery</w:t>
      </w:r>
    </w:p>
    <w:p>
      <w:pPr>
        <w:snapToGrid w:val="0"/>
        <w:spacing w:before="120" w:afterLines="50"/>
      </w:pPr>
      <w:r>
        <w:t xml:space="preserve">In this section, </w:t>
      </w:r>
      <w:r>
        <w:rPr>
          <w:rFonts w:hint="eastAsia"/>
        </w:rPr>
        <w:t>we give our consideration about updating BFD RS set through MAC-CE, selection of PUCCH SR, BFR MAC-CE</w:t>
      </w:r>
      <w:r>
        <w:t xml:space="preserve">, and UE behavior after receiving gNB response are elaborated for TRP-specific beam recovery. </w:t>
      </w:r>
    </w:p>
    <w:p>
      <w:pPr>
        <w:numPr>
          <w:ilvl w:val="1"/>
          <w:numId w:val="6"/>
        </w:numPr>
        <w:snapToGrid w:val="0"/>
        <w:spacing w:before="120" w:afterLines="50"/>
        <w:outlineLvl w:val="1"/>
        <w:rPr>
          <w:b/>
          <w:sz w:val="28"/>
        </w:rPr>
      </w:pPr>
      <w:r>
        <w:rPr>
          <w:rFonts w:hint="eastAsia"/>
          <w:b/>
          <w:sz w:val="28"/>
        </w:rPr>
        <w:t>BFD-RS</w:t>
      </w:r>
    </w:p>
    <w:p>
      <w:pPr>
        <w:snapToGrid w:val="0"/>
        <w:spacing w:before="120" w:afterLines="50"/>
        <w:rPr>
          <w:rFonts w:eastAsia="微软雅黑"/>
          <w:lang w:val="en-GB"/>
        </w:rPr>
      </w:pPr>
      <w:r>
        <w:rPr>
          <w:rFonts w:eastAsia="微软雅黑"/>
          <w:lang w:val="en-GB"/>
        </w:rPr>
        <w:t>In RAN1#10</w:t>
      </w:r>
      <w:r>
        <w:rPr>
          <w:rFonts w:hint="eastAsia" w:eastAsia="微软雅黑"/>
        </w:rPr>
        <w:t>6</w:t>
      </w:r>
      <w:r>
        <w:rPr>
          <w:rFonts w:eastAsia="微软雅黑"/>
          <w:lang w:val="en-GB"/>
        </w:rPr>
        <w:t xml:space="preserve">-e, the following agreement was reached for the configuration of BFD resource set(s).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7" w:hRule="atLeast"/>
        </w:trPr>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4"/>
              <w:snapToGrid w:val="0"/>
              <w:spacing w:before="50" w:beforeLines="0" w:beforeAutospacing="0" w:after="0" w:afterAutospacing="0" w:line="240" w:lineRule="auto"/>
              <w:rPr>
                <w:rFonts w:ascii="Times New Roman" w:hAnsi="Times New Roman" w:cs="Times New Roman"/>
                <w:lang w:eastAsia="en-US"/>
              </w:rPr>
            </w:pPr>
            <w:r>
              <w:rPr>
                <w:rFonts w:ascii="Times New Roman" w:hAnsi="Times New Roman" w:cs="Times New Roman"/>
              </w:rPr>
              <w:t>Support the following BFD-RS configurations in Rel.17 for UEs with one activated TCI state per CORESET:</w:t>
            </w:r>
          </w:p>
          <w:p>
            <w:pPr>
              <w:pStyle w:val="114"/>
              <w:numPr>
                <w:ilvl w:val="0"/>
                <w:numId w:val="16"/>
              </w:numPr>
              <w:snapToGrid w:val="0"/>
              <w:spacing w:before="50" w:beforeLines="0" w:beforeAutospacing="0" w:after="0" w:afterAutospacing="0" w:line="240" w:lineRule="auto"/>
              <w:rPr>
                <w:rFonts w:ascii="Times New Roman" w:hAnsi="Times New Roman" w:cs="Times New Roman"/>
              </w:rPr>
            </w:pPr>
            <w:r>
              <w:rPr>
                <w:rFonts w:ascii="Times New Roman" w:hAnsi="Times New Roman" w:cs="Times New Roman"/>
              </w:rPr>
              <w:t xml:space="preserve">Implicit configuration: </w:t>
            </w:r>
          </w:p>
          <w:p>
            <w:pPr>
              <w:pStyle w:val="114"/>
              <w:numPr>
                <w:ilvl w:val="1"/>
                <w:numId w:val="16"/>
              </w:numPr>
              <w:snapToGrid w:val="0"/>
              <w:spacing w:before="50" w:beforeLines="0" w:beforeAutospacing="0" w:after="0" w:afterAutospacing="0" w:line="240" w:lineRule="auto"/>
              <w:ind w:left="1446" w:hanging="363"/>
              <w:rPr>
                <w:rFonts w:ascii="Times New Roman" w:hAnsi="Times New Roman" w:cs="Times New Roman"/>
                <w:lang w:eastAsia="zh-CN"/>
              </w:rPr>
            </w:pPr>
            <w:r>
              <w:rPr>
                <w:rFonts w:ascii="Times New Roman" w:hAnsi="Times New Roman" w:cs="Times New Roman"/>
                <w:lang w:eastAsia="zh-CN"/>
              </w:rPr>
              <w:t xml:space="preserve">M-DCI: </w:t>
            </w:r>
          </w:p>
          <w:p>
            <w:pPr>
              <w:pStyle w:val="113"/>
              <w:numPr>
                <w:ilvl w:val="2"/>
                <w:numId w:val="17"/>
              </w:numPr>
              <w:spacing w:beforeLines="0" w:after="0"/>
              <w:ind w:left="1763" w:hanging="363" w:firstLineChars="0"/>
            </w:pPr>
            <w:r>
              <w:t>BFD-RS set k (k = 0, 1) is derived based on X TCI of CORESETs with CORESETPoolIndex = k</w:t>
            </w:r>
          </w:p>
          <w:p>
            <w:pPr>
              <w:pStyle w:val="113"/>
              <w:numPr>
                <w:ilvl w:val="2"/>
                <w:numId w:val="17"/>
              </w:numPr>
              <w:spacing w:beforeLines="0" w:after="0"/>
              <w:ind w:left="1763" w:hanging="363" w:firstLineChars="0"/>
              <w:rPr>
                <w:rFonts w:eastAsia="Malgun Gothic"/>
              </w:rPr>
            </w:pPr>
            <w:r>
              <w:t>FFS: value of X (determined in spec or UE capability), and TCI selection rule when the number of CORESETs with CORESETPoolIndex = k exceeds X (e.g. reuse RLM RS selection rule)</w:t>
            </w:r>
          </w:p>
          <w:p>
            <w:pPr>
              <w:pStyle w:val="114"/>
              <w:numPr>
                <w:ilvl w:val="1"/>
                <w:numId w:val="16"/>
              </w:numPr>
              <w:snapToGrid w:val="0"/>
              <w:spacing w:before="50" w:beforeLines="0" w:beforeAutospacing="0" w:after="0" w:afterAutospacing="0" w:line="240" w:lineRule="auto"/>
              <w:rPr>
                <w:rFonts w:ascii="Times New Roman" w:hAnsi="Times New Roman" w:cs="Times New Roman"/>
                <w:lang w:eastAsia="zh-CN"/>
              </w:rPr>
            </w:pPr>
            <w:r>
              <w:rPr>
                <w:rFonts w:hint="eastAsia" w:ascii="Times New Roman" w:hAnsi="Times New Roman" w:cs="Times New Roman"/>
                <w:lang w:eastAsia="zh-CN"/>
              </w:rPr>
              <w:t>S</w:t>
            </w:r>
            <w:r>
              <w:rPr>
                <w:rFonts w:ascii="Times New Roman" w:hAnsi="Times New Roman" w:cs="Times New Roman"/>
                <w:lang w:eastAsia="zh-CN"/>
              </w:rPr>
              <w:t xml:space="preserve">-DCI: </w:t>
            </w:r>
          </w:p>
          <w:p>
            <w:pPr>
              <w:pStyle w:val="113"/>
              <w:numPr>
                <w:ilvl w:val="2"/>
                <w:numId w:val="17"/>
              </w:numPr>
              <w:spacing w:beforeLines="0" w:after="0"/>
              <w:ind w:left="1763" w:hanging="363" w:firstLineChars="0"/>
            </w:pPr>
            <w:r>
              <w:t>BFD-RS configurations in Rel.17 for UEs with one activated TCI state per CORESET via implicit configuration for S-DCI mTRP is not supported in Rel-17.</w:t>
            </w:r>
          </w:p>
          <w:p>
            <w:pPr>
              <w:pStyle w:val="114"/>
              <w:numPr>
                <w:ilvl w:val="0"/>
                <w:numId w:val="16"/>
              </w:numPr>
              <w:snapToGrid w:val="0"/>
              <w:spacing w:before="50" w:beforeLines="0" w:beforeAutospacing="0" w:after="0" w:afterAutospacing="0" w:line="240" w:lineRule="auto"/>
              <w:rPr>
                <w:rFonts w:ascii="Times New Roman" w:hAnsi="Times New Roman" w:cs="Times New Roman"/>
              </w:rPr>
            </w:pPr>
            <w:r>
              <w:rPr>
                <w:rFonts w:ascii="Times New Roman" w:hAnsi="Times New Roman" w:eastAsia="等线" w:cs="Times"/>
                <w:bCs/>
                <w:iCs/>
                <w:kern w:val="32"/>
                <w:szCs w:val="22"/>
                <w:lang w:eastAsia="zh-CN"/>
              </w:rPr>
              <w:t>FFS: CORESETs with more than 1 activated TCI states</w:t>
            </w:r>
          </w:p>
          <w:p>
            <w:pPr>
              <w:pStyle w:val="21"/>
              <w:spacing w:before="50" w:beforeLines="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spacing w:beforeLines="0" w:after="0" w:line="240" w:lineRule="auto"/>
            </w:pPr>
            <w:r>
              <w:t>Support the following BFD-RS configurations in Rel.17 for UEs with one activated TCI state per CORESET:</w:t>
            </w:r>
          </w:p>
          <w:p>
            <w:pPr>
              <w:numPr>
                <w:ilvl w:val="0"/>
                <w:numId w:val="15"/>
              </w:numPr>
              <w:spacing w:beforeLines="0" w:after="0" w:line="240" w:lineRule="auto"/>
              <w:rPr>
                <w:rFonts w:eastAsia="等线" w:cs="Times"/>
                <w:bCs/>
                <w:iCs/>
                <w:kern w:val="32"/>
                <w:szCs w:val="22"/>
              </w:rPr>
            </w:pPr>
            <w:r>
              <w:rPr>
                <w:rFonts w:eastAsia="等线" w:cs="Times"/>
                <w:bCs/>
                <w:iCs/>
                <w:kern w:val="32"/>
                <w:szCs w:val="22"/>
              </w:rPr>
              <w:t>Explicit configuration of BFD-RS resources in BFD-RS set k, k = 0, 1</w:t>
            </w:r>
          </w:p>
          <w:p>
            <w:pPr>
              <w:numPr>
                <w:ilvl w:val="0"/>
                <w:numId w:val="15"/>
              </w:numPr>
              <w:spacing w:beforeLines="0" w:after="0" w:line="240" w:lineRule="auto"/>
              <w:rPr>
                <w:rFonts w:eastAsia="等线" w:cs="Times"/>
                <w:bCs/>
                <w:iCs/>
                <w:kern w:val="32"/>
                <w:szCs w:val="22"/>
              </w:rPr>
            </w:pPr>
            <w:r>
              <w:rPr>
                <w:rFonts w:eastAsia="等线" w:cs="Times"/>
                <w:bCs/>
                <w:iCs/>
                <w:kern w:val="32"/>
                <w:szCs w:val="22"/>
              </w:rPr>
              <w:t>FFS: CORESETs with more than 1 activated TCI state.</w:t>
            </w:r>
          </w:p>
          <w:p>
            <w:pPr>
              <w:pStyle w:val="21"/>
              <w:spacing w:before="50" w:beforeLines="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numPr>
                <w:ilvl w:val="0"/>
                <w:numId w:val="16"/>
              </w:numPr>
              <w:spacing w:beforeLines="0" w:after="0" w:line="240" w:lineRule="auto"/>
            </w:pPr>
            <w:r>
              <w:t xml:space="preserve">The maximum number of BFD-RS resources per set is a UE capability, including a possible candidate value of 1 in Rel.17. </w:t>
            </w:r>
          </w:p>
          <w:p>
            <w:pPr>
              <w:pStyle w:val="114"/>
              <w:numPr>
                <w:ilvl w:val="255"/>
                <w:numId w:val="0"/>
              </w:numPr>
              <w:snapToGrid w:val="0"/>
              <w:spacing w:before="0" w:beforeLines="0" w:beforeAutospacing="0" w:after="0" w:afterAutospacing="0" w:line="240" w:lineRule="auto"/>
              <w:rPr>
                <w:rFonts w:cs="Times"/>
              </w:rPr>
            </w:pPr>
          </w:p>
        </w:tc>
      </w:tr>
    </w:tbl>
    <w:p>
      <w:pPr>
        <w:numPr>
          <w:ilvl w:val="2"/>
          <w:numId w:val="6"/>
        </w:numPr>
        <w:tabs>
          <w:tab w:val="left" w:pos="576"/>
          <w:tab w:val="clear" w:pos="720"/>
        </w:tabs>
        <w:snapToGrid w:val="0"/>
        <w:spacing w:before="120" w:afterLines="50"/>
        <w:outlineLvl w:val="2"/>
        <w:rPr>
          <w:b/>
          <w:bCs/>
          <w:sz w:val="24"/>
          <w:szCs w:val="24"/>
        </w:rPr>
      </w:pPr>
      <w:r>
        <w:rPr>
          <w:rFonts w:hint="eastAsia"/>
          <w:b/>
          <w:bCs/>
          <w:sz w:val="24"/>
          <w:szCs w:val="24"/>
        </w:rPr>
        <w:t>Updating BFD RS set through MAC-CE</w:t>
      </w:r>
    </w:p>
    <w:p>
      <w:pPr>
        <w:numPr>
          <w:ilvl w:val="255"/>
          <w:numId w:val="0"/>
        </w:numPr>
        <w:spacing w:before="120"/>
      </w:pPr>
      <w:r>
        <w:rPr>
          <w:rFonts w:hint="eastAsia"/>
        </w:rPr>
        <w:t>It has been agreed that unified TCI state is indicated or updated by DCI, and it means that the Rx-beam of PDCCH can be updated dynamically, just like PDSCH. But, BFD RS is still reconfigured through RRC signaling. Such different latency of dynamic signaling and RRC signaling would cause misalignment</w:t>
      </w:r>
      <w:r>
        <w:t xml:space="preserve"> and ambiguity</w:t>
      </w:r>
      <w:r>
        <w:rPr>
          <w:rFonts w:hint="eastAsia"/>
        </w:rPr>
        <w:t xml:space="preserve"> to BFD. Specifically, when the beam of PDCCH is updated by DCI, the current q_0 may not be suitable for BFD anymore. Therefore, updating BFD RS based on </w:t>
      </w:r>
      <w:r>
        <w:t xml:space="preserve">a </w:t>
      </w:r>
      <w:r>
        <w:rPr>
          <w:rFonts w:hint="eastAsia"/>
        </w:rPr>
        <w:t>dynamic signaling should be supported.</w:t>
      </w:r>
      <w:r>
        <w:t xml:space="preserve"> As a starting point, updating BFD RS through MAC-CE signaling can be considered. </w:t>
      </w:r>
    </w:p>
    <w:p>
      <w:pPr>
        <w:numPr>
          <w:ilvl w:val="0"/>
          <w:numId w:val="18"/>
        </w:numPr>
        <w:snapToGrid w:val="0"/>
        <w:spacing w:before="120" w:afterLines="50"/>
        <w:rPr>
          <w:rFonts w:eastAsia="微软雅黑"/>
        </w:rPr>
      </w:pPr>
      <w:r>
        <w:rPr>
          <w:rFonts w:hint="eastAsia"/>
        </w:rPr>
        <w:t>The MAC-CE signaling may include a RS identifier (ID) to indicate UE which RS is used to update BF</w:t>
      </w:r>
      <w:r>
        <w:t>D</w:t>
      </w:r>
      <w:r>
        <w:rPr>
          <w:rFonts w:hint="eastAsia"/>
        </w:rPr>
        <w:t>-RS</w:t>
      </w:r>
      <w:r>
        <w:t xml:space="preserve"> and its corresponding ‘TRP-ID’</w:t>
      </w:r>
      <w:r>
        <w:rPr>
          <w:rFonts w:hint="eastAsia"/>
        </w:rPr>
        <w:t>.</w:t>
      </w:r>
      <w:r>
        <w:t xml:space="preserve"> As mentioned above, s</w:t>
      </w:r>
      <w:r>
        <w:rPr>
          <w:rFonts w:hint="eastAsia"/>
        </w:rPr>
        <w:t xml:space="preserve">ince </w:t>
      </w:r>
      <w:r>
        <w:t xml:space="preserve">RRC parameter </w:t>
      </w:r>
      <w:r>
        <w:rPr>
          <w:i/>
          <w:iCs/>
        </w:rPr>
        <w:t>CORESETPoolIndex</w:t>
      </w:r>
      <w:r>
        <w:rPr>
          <w:rFonts w:hint="eastAsia"/>
        </w:rPr>
        <w:t xml:space="preserve"> has been agreed to be introduced in mDCI</w:t>
      </w:r>
      <w:r>
        <w:t>-</w:t>
      </w:r>
      <w:r>
        <w:rPr>
          <w:rFonts w:hint="eastAsia"/>
        </w:rPr>
        <w:t xml:space="preserve">mTRP, </w:t>
      </w:r>
      <w:r>
        <w:rPr>
          <w:i/>
          <w:iCs/>
        </w:rPr>
        <w:t>CORESETPoolIndex</w:t>
      </w:r>
      <w:r>
        <w:t xml:space="preserve"> is recommended as ‘TRP-ID’ to</w:t>
      </w:r>
      <w:r>
        <w:rPr>
          <w:rFonts w:hint="eastAsia"/>
        </w:rPr>
        <w:t xml:space="preserve"> be</w:t>
      </w:r>
      <w:r>
        <w:t xml:space="preserve"> </w:t>
      </w:r>
      <w:r>
        <w:rPr>
          <w:rFonts w:hint="eastAsia"/>
        </w:rPr>
        <w:t>included in the MAC-CE signaling.</w:t>
      </w:r>
    </w:p>
    <w:p>
      <w:pPr>
        <w:spacing w:before="120" w:line="271" w:lineRule="auto"/>
        <w:ind w:right="11"/>
        <w:rPr>
          <w:i/>
        </w:rPr>
      </w:pPr>
      <w:r>
        <w:rPr>
          <w:b/>
          <w:i/>
        </w:rPr>
        <w:t>Proposal</w:t>
      </w:r>
      <w:r>
        <w:rPr>
          <w:rFonts w:hint="eastAsia"/>
          <w:b/>
          <w:i/>
        </w:rPr>
        <w:t xml:space="preserve"> 4:</w:t>
      </w:r>
      <w:r>
        <w:rPr>
          <w:b/>
          <w:i/>
        </w:rPr>
        <w:t xml:space="preserve"> </w:t>
      </w:r>
      <w:r>
        <w:rPr>
          <w:i/>
        </w:rPr>
        <w:t>Introduce a new MAC-CE</w:t>
      </w:r>
      <w:r>
        <w:rPr>
          <w:rFonts w:hint="eastAsia"/>
          <w:i/>
        </w:rPr>
        <w:t xml:space="preserve"> </w:t>
      </w:r>
      <w:r>
        <w:rPr>
          <w:i/>
        </w:rPr>
        <w:t xml:space="preserve">to activate </w:t>
      </w:r>
      <w:r>
        <w:rPr>
          <w:rFonts w:hint="eastAsia"/>
          <w:i/>
        </w:rPr>
        <w:t>BFD RS</w:t>
      </w:r>
      <w:r>
        <w:rPr>
          <w:i/>
        </w:rPr>
        <w:t>(s) dynamically at least for mDCI-mTRP, in order to guarantee the same timeline between PDCCH beam update and explicit BFD RS configuration</w:t>
      </w:r>
      <w:r>
        <w:rPr>
          <w:rFonts w:hint="eastAsia"/>
          <w:i/>
        </w:rPr>
        <w:t>.</w:t>
      </w:r>
    </w:p>
    <w:p>
      <w:pPr>
        <w:spacing w:before="120"/>
        <w:rPr>
          <w:i/>
        </w:rPr>
      </w:pPr>
      <w:r>
        <w:rPr>
          <w:rFonts w:hint="eastAsia"/>
          <w:i/>
        </w:rPr>
        <w:t xml:space="preserve">-    </w:t>
      </w:r>
      <w:r>
        <w:rPr>
          <w:i/>
        </w:rPr>
        <w:t>In the MAC-CE, two sets of BFD-RS(s) are explicit provided and associated with respective CORESETPoolIndex.</w:t>
      </w:r>
    </w:p>
    <w:p>
      <w:pPr>
        <w:numPr>
          <w:ilvl w:val="2"/>
          <w:numId w:val="6"/>
        </w:numPr>
        <w:tabs>
          <w:tab w:val="left" w:pos="576"/>
          <w:tab w:val="clear" w:pos="720"/>
        </w:tabs>
        <w:snapToGrid w:val="0"/>
        <w:spacing w:before="120" w:afterLines="50"/>
        <w:outlineLvl w:val="2"/>
        <w:rPr>
          <w:b/>
          <w:bCs/>
          <w:sz w:val="24"/>
          <w:szCs w:val="24"/>
        </w:rPr>
      </w:pPr>
      <w:r>
        <w:rPr>
          <w:b/>
          <w:bCs/>
          <w:sz w:val="24"/>
          <w:szCs w:val="24"/>
        </w:rPr>
        <w:t xml:space="preserve">Implicit </w:t>
      </w:r>
      <w:r>
        <w:rPr>
          <w:rFonts w:hint="eastAsia"/>
          <w:b/>
          <w:bCs/>
          <w:sz w:val="24"/>
          <w:szCs w:val="24"/>
        </w:rPr>
        <w:t xml:space="preserve">BFD-RS </w:t>
      </w:r>
      <w:r>
        <w:rPr>
          <w:b/>
          <w:bCs/>
          <w:sz w:val="24"/>
          <w:szCs w:val="24"/>
        </w:rPr>
        <w:t xml:space="preserve">determination in the case of </w:t>
      </w:r>
      <w:r>
        <w:rPr>
          <w:rFonts w:hint="eastAsia"/>
          <w:b/>
          <w:bCs/>
          <w:sz w:val="24"/>
          <w:szCs w:val="24"/>
        </w:rPr>
        <w:t>CORESET</w:t>
      </w:r>
      <w:r>
        <w:rPr>
          <w:b/>
          <w:bCs/>
          <w:sz w:val="24"/>
          <w:szCs w:val="24"/>
        </w:rPr>
        <w:t xml:space="preserve"> with 2 TCI states</w:t>
      </w:r>
    </w:p>
    <w:p>
      <w:pPr>
        <w:numPr>
          <w:ilvl w:val="255"/>
          <w:numId w:val="0"/>
        </w:numPr>
        <w:spacing w:before="120" w:after="0"/>
        <w:rPr>
          <w:b/>
          <w:bCs/>
        </w:rPr>
      </w:pPr>
      <w:r>
        <w:rPr>
          <w:rFonts w:hint="eastAsia"/>
        </w:rPr>
        <w:t>When a CORESET is activated with two TCI states, each of the two TCI states corresponds to one TRP. Each of the two TCI states should be associated with a BFD-RS set respectively. For example, a CORESET is activated with two TCI state {TCI state 0, TCI state</w:t>
      </w:r>
      <w:r>
        <w:t xml:space="preserve"> </w:t>
      </w:r>
      <w:r>
        <w:rPr>
          <w:rFonts w:hint="eastAsia"/>
        </w:rPr>
        <w:t>1}. TCI state 0 is associated with BFD-RS set 0 and TCI state 1 is associated with BFD-RS set 1.</w:t>
      </w:r>
    </w:p>
    <w:p>
      <w:pPr>
        <w:spacing w:before="120" w:line="271" w:lineRule="auto"/>
        <w:ind w:right="11"/>
        <w:rPr>
          <w:i/>
        </w:rPr>
      </w:pPr>
      <w:r>
        <w:rPr>
          <w:b/>
          <w:i/>
        </w:rPr>
        <w:t xml:space="preserve">Proposal </w:t>
      </w:r>
      <w:r>
        <w:rPr>
          <w:rFonts w:hint="eastAsia"/>
          <w:b/>
          <w:i/>
        </w:rPr>
        <w:t>5</w:t>
      </w:r>
      <w:r>
        <w:rPr>
          <w:b/>
          <w:i/>
        </w:rPr>
        <w:t xml:space="preserve">: </w:t>
      </w:r>
      <w:r>
        <w:rPr>
          <w:rFonts w:hint="eastAsia"/>
          <w:i/>
        </w:rPr>
        <w:t xml:space="preserve"> When a CORESET is activated with two TCI states</w:t>
      </w:r>
      <w:r>
        <w:rPr>
          <w:i/>
        </w:rPr>
        <w:t xml:space="preserve">, </w:t>
      </w:r>
      <w:r>
        <w:rPr>
          <w:rFonts w:hint="eastAsia"/>
          <w:i/>
        </w:rPr>
        <w:t xml:space="preserve">each of </w:t>
      </w:r>
      <w:r>
        <w:rPr>
          <w:i/>
        </w:rPr>
        <w:t>two TCI states</w:t>
      </w:r>
      <w:r>
        <w:rPr>
          <w:rFonts w:hint="eastAsia"/>
          <w:i/>
        </w:rPr>
        <w:t xml:space="preserve"> corresponds to a </w:t>
      </w:r>
      <w:r>
        <w:rPr>
          <w:i/>
        </w:rPr>
        <w:t xml:space="preserve">respective </w:t>
      </w:r>
      <w:r>
        <w:rPr>
          <w:rFonts w:hint="eastAsia"/>
          <w:i/>
        </w:rPr>
        <w:t>BFD-RS set</w:t>
      </w:r>
      <w:r>
        <w:rPr>
          <w:i/>
        </w:rPr>
        <w:t xml:space="preserve"> by order.</w:t>
      </w:r>
      <w:r>
        <w:rPr>
          <w:rFonts w:hint="eastAsia"/>
          <w:i/>
        </w:rPr>
        <w:t xml:space="preserve"> </w:t>
      </w:r>
    </w:p>
    <w:p>
      <w:pPr>
        <w:numPr>
          <w:ilvl w:val="0"/>
          <w:numId w:val="18"/>
        </w:numPr>
        <w:snapToGrid w:val="0"/>
        <w:spacing w:before="120" w:afterLines="50" w:line="240" w:lineRule="auto"/>
        <w:ind w:left="363" w:hanging="363"/>
        <w:rPr>
          <w:i/>
        </w:rPr>
      </w:pPr>
      <w:r>
        <w:rPr>
          <w:rFonts w:hint="eastAsia"/>
          <w:i/>
          <w:iCs/>
        </w:rPr>
        <w:t xml:space="preserve">If one BFD-RS set is not </w:t>
      </w:r>
      <w:r>
        <w:rPr>
          <w:i/>
          <w:iCs/>
        </w:rPr>
        <w:t xml:space="preserve">explicitly </w:t>
      </w:r>
      <w:r>
        <w:rPr>
          <w:rFonts w:hint="eastAsia"/>
          <w:i/>
          <w:iCs/>
        </w:rPr>
        <w:t xml:space="preserve">configured, the BFD-RS set </w:t>
      </w:r>
      <w:r>
        <w:rPr>
          <w:i/>
          <w:iCs/>
        </w:rPr>
        <w:t>is determined according to corresponding</w:t>
      </w:r>
      <w:r>
        <w:rPr>
          <w:rFonts w:hint="eastAsia"/>
          <w:i/>
          <w:iCs/>
        </w:rPr>
        <w:t xml:space="preserve"> TCI state. </w:t>
      </w:r>
    </w:p>
    <w:p>
      <w:pPr>
        <w:numPr>
          <w:ilvl w:val="1"/>
          <w:numId w:val="6"/>
        </w:numPr>
        <w:snapToGrid w:val="0"/>
        <w:spacing w:before="120" w:afterLines="50"/>
        <w:outlineLvl w:val="1"/>
        <w:rPr>
          <w:b/>
          <w:sz w:val="28"/>
        </w:rPr>
      </w:pPr>
      <w:r>
        <w:rPr>
          <w:rFonts w:hint="eastAsia"/>
          <w:b/>
          <w:sz w:val="28"/>
        </w:rPr>
        <w:t>PUCCH-SR</w:t>
      </w:r>
    </w:p>
    <w:p>
      <w:pPr>
        <w:spacing w:before="120" w:line="271" w:lineRule="auto"/>
        <w:ind w:right="11"/>
      </w:pPr>
      <w:r>
        <w:t>In RAN1#10</w:t>
      </w:r>
      <w:r>
        <w:rPr>
          <w:rFonts w:hint="eastAsia"/>
        </w:rPr>
        <w:t>4</w:t>
      </w:r>
      <w:r>
        <w:t>-e</w:t>
      </w:r>
      <w:r>
        <w:rPr>
          <w:rFonts w:hint="eastAsia"/>
        </w:rPr>
        <w:t xml:space="preserve"> and RAN1#105-e</w:t>
      </w:r>
      <w:r>
        <w:t>, PUCCH-SR for TRP-specific beam recovery has been discussed, and the following agreement was reached.</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4"/>
              <w:snapToGrid w:val="0"/>
              <w:spacing w:before="50" w:beforeLines="0" w:beforeAutospacing="0" w:after="0" w:afterAutospacing="0" w:line="240" w:lineRule="auto"/>
              <w:rPr>
                <w:rFonts w:ascii="Times New Roman" w:hAnsi="Times New Roman" w:cs="Times New Roman"/>
                <w:lang w:eastAsia="en-US"/>
              </w:rPr>
            </w:pPr>
            <w:r>
              <w:rPr>
                <w:rFonts w:ascii="Times New Roman" w:hAnsi="Times New Roman" w:cs="Times New Roman"/>
              </w:rPr>
              <w:t>A UE configured with TRP-specific BFR can be configured with 1 PUCCH-SR resource in a cell group</w:t>
            </w:r>
          </w:p>
          <w:p>
            <w:pPr>
              <w:pStyle w:val="114"/>
              <w:numPr>
                <w:ilvl w:val="0"/>
                <w:numId w:val="16"/>
              </w:numPr>
              <w:snapToGrid w:val="0"/>
              <w:spacing w:before="50" w:beforeLines="0" w:beforeAutospacing="0" w:after="0" w:afterAutospacing="0" w:line="240" w:lineRule="auto"/>
              <w:rPr>
                <w:rFonts w:ascii="Times New Roman" w:hAnsi="Times New Roman" w:cs="Times New Roman"/>
              </w:rPr>
            </w:pPr>
            <w:r>
              <w:rPr>
                <w:rFonts w:ascii="Times New Roman" w:hAnsi="Times New Roman" w:cs="Times New Roman"/>
                <w:lang w:eastAsia="zh-CN"/>
              </w:rPr>
              <w:t>NOTE: it has been agreed in RAN1#104-e that a UE can be configured with up to 2 PUCCH-SR resources in a cell grou</w:t>
            </w:r>
            <w:r>
              <w:rPr>
                <w:rFonts w:hint="eastAsia" w:ascii="Times New Roman" w:hAnsi="Times New Roman" w:cs="Times New Roman"/>
                <w:lang w:eastAsia="zh-CN"/>
              </w:rPr>
              <w:t>p</w:t>
            </w:r>
          </w:p>
          <w:p>
            <w:pPr>
              <w:snapToGrid w:val="0"/>
              <w:spacing w:beforeLines="0" w:after="0" w:line="240" w:lineRule="auto"/>
            </w:pPr>
            <w:r>
              <w:t>For the TRP specific BFR, for a UE configured with two PUCCH-SR resources in a cell group when beam failure is detected in a one or more CCs in one or more of BFD-RS sets configured in one or more of CCs,</w:t>
            </w:r>
          </w:p>
          <w:p>
            <w:pPr>
              <w:numPr>
                <w:ilvl w:val="0"/>
                <w:numId w:val="19"/>
              </w:numPr>
              <w:snapToGrid w:val="0"/>
              <w:spacing w:beforeLines="0" w:after="0" w:line="240" w:lineRule="auto"/>
            </w:pPr>
            <w:r>
              <w:t>Down select one of the following PUCCH-SR resource selection rules when SR is triggered (or their combinations) for the study, without precluding other alternatives, in RAN1#105-e</w:t>
            </w:r>
          </w:p>
          <w:p>
            <w:pPr>
              <w:numPr>
                <w:ilvl w:val="1"/>
                <w:numId w:val="15"/>
              </w:numPr>
              <w:snapToGrid w:val="0"/>
              <w:spacing w:beforeLines="0" w:after="0" w:line="240" w:lineRule="auto"/>
              <w:rPr>
                <w:rFonts w:eastAsia="等线" w:cs="Times"/>
                <w:bCs/>
                <w:iCs/>
                <w:kern w:val="32"/>
                <w:szCs w:val="22"/>
              </w:rPr>
            </w:pPr>
            <w:r>
              <w:rPr>
                <w:rFonts w:eastAsia="等线" w:cs="Times"/>
                <w:bCs/>
                <w:iCs/>
                <w:kern w:val="32"/>
                <w:szCs w:val="22"/>
              </w:rPr>
              <w:t>Alt-1: PUCCH-SR resource associated with other/non-failed BFD-RS set, association details FFS</w:t>
            </w:r>
          </w:p>
          <w:p>
            <w:pPr>
              <w:numPr>
                <w:ilvl w:val="1"/>
                <w:numId w:val="15"/>
              </w:numPr>
              <w:snapToGrid w:val="0"/>
              <w:spacing w:beforeLines="0" w:after="0" w:line="240" w:lineRule="auto"/>
              <w:rPr>
                <w:rFonts w:eastAsia="等线" w:cs="Times"/>
                <w:bCs/>
                <w:iCs/>
                <w:kern w:val="32"/>
                <w:szCs w:val="22"/>
              </w:rPr>
            </w:pPr>
            <w:r>
              <w:rPr>
                <w:rFonts w:eastAsia="等线" w:cs="Times"/>
                <w:bCs/>
                <w:iCs/>
                <w:kern w:val="32"/>
                <w:szCs w:val="22"/>
              </w:rPr>
              <w:t>Alt-2: PUCCH-SR resource associated with failed BFD-RS set, association details FFS</w:t>
            </w:r>
          </w:p>
          <w:p>
            <w:pPr>
              <w:numPr>
                <w:ilvl w:val="1"/>
                <w:numId w:val="15"/>
              </w:numPr>
              <w:snapToGrid w:val="0"/>
              <w:spacing w:beforeLines="0" w:after="0" w:line="240" w:lineRule="auto"/>
              <w:rPr>
                <w:rFonts w:eastAsia="等线" w:cs="Times"/>
                <w:bCs/>
                <w:iCs/>
                <w:kern w:val="32"/>
                <w:szCs w:val="22"/>
              </w:rPr>
            </w:pPr>
            <w:r>
              <w:rPr>
                <w:rFonts w:eastAsia="等线" w:cs="Times"/>
                <w:bCs/>
                <w:iCs/>
                <w:kern w:val="32"/>
                <w:szCs w:val="22"/>
              </w:rPr>
              <w:t>Alt-3: Leave it up to UE implementation</w:t>
            </w:r>
          </w:p>
          <w:p>
            <w:pPr>
              <w:numPr>
                <w:ilvl w:val="0"/>
                <w:numId w:val="19"/>
              </w:numPr>
              <w:snapToGrid w:val="0"/>
              <w:spacing w:beforeLines="0" w:after="0" w:line="240" w:lineRule="auto"/>
            </w:pPr>
            <w:r>
              <w:t>Note: PUCCH-SR resource is PUCCH resource carrying SR</w:t>
            </w:r>
          </w:p>
          <w:p>
            <w:pPr>
              <w:numPr>
                <w:ilvl w:val="0"/>
                <w:numId w:val="19"/>
              </w:numPr>
              <w:snapToGrid w:val="0"/>
              <w:spacing w:beforeLines="0" w:after="0" w:line="240" w:lineRule="auto"/>
            </w:pPr>
            <w:r>
              <w:t>FFS: Whether two PUCCH-SR resources are under the same or different SR resource configuration or SR configuration (eventual decision may or may not happen in RAN1)</w:t>
            </w:r>
          </w:p>
          <w:p>
            <w:pPr>
              <w:spacing w:beforeLines="0"/>
            </w:pPr>
            <w:r>
              <w:t>Select one of the following alternatives with possible modification in RAN1#106-e</w:t>
            </w:r>
          </w:p>
          <w:p>
            <w:pPr>
              <w:pStyle w:val="113"/>
              <w:numPr>
                <w:ilvl w:val="0"/>
                <w:numId w:val="20"/>
              </w:numPr>
              <w:snapToGrid w:val="0"/>
              <w:spacing w:before="120"/>
              <w:ind w:firstLineChars="0"/>
              <w:contextualSpacing/>
              <w:rPr>
                <w:rFonts w:cs="Times"/>
              </w:rPr>
            </w:pPr>
            <w:r>
              <w:rPr>
                <w:rFonts w:cs="Times"/>
              </w:rPr>
              <w:t>Alt 2.5.2 A:</w:t>
            </w:r>
          </w:p>
          <w:p>
            <w:pPr>
              <w:pStyle w:val="113"/>
              <w:numPr>
                <w:ilvl w:val="1"/>
                <w:numId w:val="20"/>
              </w:numPr>
              <w:snapToGrid w:val="0"/>
              <w:spacing w:before="120"/>
              <w:ind w:firstLineChars="0"/>
              <w:contextualSpacing/>
              <w:rPr>
                <w:rFonts w:cs="Times"/>
              </w:rPr>
            </w:pPr>
            <w:r>
              <w:rPr>
                <w:rFonts w:cs="Times"/>
              </w:rPr>
              <w:t>On PUCCH-SR resource selection rule when SR is triggered and 2 PUCCH-SR resources are configured, there is no consensus to adopt alt-1 or alt-2. PUCCH-SR resource selection is up to UE implementation.</w:t>
            </w:r>
          </w:p>
          <w:p>
            <w:pPr>
              <w:pStyle w:val="113"/>
              <w:numPr>
                <w:ilvl w:val="0"/>
                <w:numId w:val="20"/>
              </w:numPr>
              <w:snapToGrid w:val="0"/>
              <w:spacing w:before="120"/>
              <w:ind w:firstLineChars="0"/>
              <w:contextualSpacing/>
              <w:rPr>
                <w:rFonts w:cs="Times"/>
              </w:rPr>
            </w:pPr>
            <w:r>
              <w:rPr>
                <w:rFonts w:cs="Times"/>
              </w:rPr>
              <w:t>Alt 2.5.2 B: </w:t>
            </w:r>
          </w:p>
          <w:p>
            <w:pPr>
              <w:pStyle w:val="113"/>
              <w:numPr>
                <w:ilvl w:val="1"/>
                <w:numId w:val="20"/>
              </w:numPr>
              <w:snapToGrid w:val="0"/>
              <w:spacing w:before="120"/>
              <w:ind w:firstLineChars="0"/>
              <w:contextualSpacing/>
              <w:rPr>
                <w:rFonts w:cs="Times"/>
              </w:rPr>
            </w:pPr>
            <w:r>
              <w:rPr>
                <w:rFonts w:cs="Time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pPr>
              <w:pStyle w:val="113"/>
              <w:numPr>
                <w:ilvl w:val="0"/>
                <w:numId w:val="20"/>
              </w:numPr>
              <w:snapToGrid w:val="0"/>
              <w:spacing w:before="120"/>
              <w:ind w:firstLineChars="0"/>
              <w:contextualSpacing/>
              <w:rPr>
                <w:rFonts w:cs="Times"/>
              </w:rPr>
            </w:pPr>
            <w:r>
              <w:rPr>
                <w:rFonts w:cs="Times"/>
              </w:rPr>
              <w:t>Alt 2.5.2 C: </w:t>
            </w:r>
          </w:p>
          <w:p>
            <w:pPr>
              <w:pStyle w:val="113"/>
              <w:numPr>
                <w:ilvl w:val="1"/>
                <w:numId w:val="20"/>
              </w:numPr>
              <w:snapToGrid w:val="0"/>
              <w:spacing w:before="120"/>
              <w:ind w:firstLineChars="0"/>
              <w:contextualSpacing/>
              <w:rPr>
                <w:rFonts w:cs="Times"/>
              </w:rPr>
            </w:pPr>
            <w:r>
              <w:rPr>
                <w:rFonts w:cs="Time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pPr>
              <w:pStyle w:val="113"/>
              <w:numPr>
                <w:ilvl w:val="0"/>
                <w:numId w:val="20"/>
              </w:numPr>
              <w:snapToGrid w:val="0"/>
              <w:spacing w:before="120"/>
              <w:ind w:firstLineChars="0"/>
              <w:contextualSpacing/>
              <w:rPr>
                <w:rFonts w:cs="Times"/>
              </w:rPr>
            </w:pPr>
            <w:r>
              <w:rPr>
                <w:rFonts w:cs="Times"/>
              </w:rPr>
              <w:t>Alt 2.5.2 D: </w:t>
            </w:r>
          </w:p>
          <w:p>
            <w:pPr>
              <w:pStyle w:val="113"/>
              <w:numPr>
                <w:ilvl w:val="1"/>
                <w:numId w:val="20"/>
              </w:numPr>
              <w:snapToGrid w:val="0"/>
              <w:spacing w:before="120"/>
              <w:ind w:firstLineChars="0"/>
              <w:contextualSpacing/>
              <w:rPr>
                <w:rFonts w:cs="Times"/>
              </w:rPr>
            </w:pPr>
            <w:bookmarkStart w:id="2" w:name="_Hlk73050134"/>
            <w:r>
              <w:rPr>
                <w:rFonts w:cs="Times"/>
              </w:rPr>
              <w:t>Revert the past agreement on supporting configuration of up to 2 PUCCH-SR resources. A UE can be configured up to 1 PUCCH-SR resource in a cell group.</w:t>
            </w:r>
            <w:bookmarkEnd w:id="2"/>
            <w:r>
              <w:rPr>
                <w:rFonts w:cs="Times"/>
              </w:rPr>
              <w:t xml:space="preserve"> </w:t>
            </w:r>
          </w:p>
          <w:p>
            <w:pPr>
              <w:pStyle w:val="114"/>
              <w:numPr>
                <w:ilvl w:val="255"/>
                <w:numId w:val="0"/>
              </w:numPr>
              <w:snapToGrid w:val="0"/>
              <w:spacing w:before="0" w:beforeLines="0" w:beforeAutospacing="0" w:after="0" w:afterAutospacing="0" w:line="240" w:lineRule="auto"/>
              <w:rPr>
                <w:rFonts w:cs="Times"/>
                <w:sz w:val="2"/>
                <w:szCs w:val="2"/>
              </w:rPr>
            </w:pPr>
          </w:p>
        </w:tc>
      </w:tr>
    </w:tbl>
    <w:p>
      <w:pPr>
        <w:numPr>
          <w:ilvl w:val="255"/>
          <w:numId w:val="0"/>
        </w:numPr>
        <w:snapToGrid w:val="0"/>
        <w:spacing w:before="120" w:afterLines="50"/>
      </w:pPr>
      <w:r>
        <w:rPr>
          <w:rFonts w:hint="eastAsia"/>
        </w:rPr>
        <w:t xml:space="preserve">When two PUCCH-SRs are configured in SpCell, each of the two PUCCH-SRs is transmitted to one TRP of SpCell.  As shown in Figure 3, PUCCH-SR0 is transmitted to TRP0 of SpCell and PUCCH-SR1 is transmitted to TRP1 of SpCell. The selection of PUCCH-SRs should </w:t>
      </w:r>
      <w:r>
        <w:rPr>
          <w:rFonts w:hint="eastAsia"/>
          <w:highlight w:val="none"/>
        </w:rPr>
        <w:t xml:space="preserve">first </w:t>
      </w:r>
      <w:r>
        <w:rPr>
          <w:rFonts w:hint="eastAsia"/>
        </w:rPr>
        <w:t>depend on the beam failure situation of SpCell</w:t>
      </w:r>
      <w:r>
        <w:rPr>
          <w:rFonts w:hint="eastAsia"/>
          <w:highlight w:val="none"/>
        </w:rPr>
        <w:t xml:space="preserve">, then </w:t>
      </w:r>
      <w:r>
        <w:rPr>
          <w:rFonts w:hint="eastAsia"/>
        </w:rPr>
        <w:t xml:space="preserve">depend on the beam failure situation of SCell.  </w:t>
      </w:r>
    </w:p>
    <w:p>
      <w:pPr>
        <w:numPr>
          <w:ilvl w:val="255"/>
          <w:numId w:val="0"/>
        </w:numPr>
        <w:snapToGrid w:val="0"/>
        <w:spacing w:before="120" w:afterLines="50"/>
        <w:jc w:val="center"/>
      </w:pPr>
      <w:r>
        <w:rPr>
          <w:rFonts w:hint="eastAsia"/>
        </w:rPr>
        <w:drawing>
          <wp:inline distT="0" distB="0" distL="114300" distR="114300">
            <wp:extent cx="2059305" cy="1342390"/>
            <wp:effectExtent l="0" t="0" r="0" b="0"/>
            <wp:docPr id="3" name="图片 3" descr="图片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31"/>
                    <pic:cNvPicPr>
                      <a:picLocks noChangeAspect="1"/>
                    </pic:cNvPicPr>
                  </pic:nvPicPr>
                  <pic:blipFill>
                    <a:blip r:embed="rId13"/>
                    <a:stretch>
                      <a:fillRect/>
                    </a:stretch>
                  </pic:blipFill>
                  <pic:spPr>
                    <a:xfrm>
                      <a:off x="0" y="0"/>
                      <a:ext cx="2072904" cy="1351168"/>
                    </a:xfrm>
                    <a:prstGeom prst="rect">
                      <a:avLst/>
                    </a:prstGeom>
                  </pic:spPr>
                </pic:pic>
              </a:graphicData>
            </a:graphic>
          </wp:inline>
        </w:drawing>
      </w:r>
    </w:p>
    <w:p>
      <w:pPr>
        <w:numPr>
          <w:ilvl w:val="255"/>
          <w:numId w:val="0"/>
        </w:numPr>
        <w:snapToGrid w:val="0"/>
        <w:spacing w:before="120" w:afterLines="50"/>
        <w:jc w:val="center"/>
      </w:pPr>
      <w:r>
        <w:rPr>
          <w:rFonts w:hint="eastAsia"/>
          <w:b/>
          <w:bCs/>
        </w:rPr>
        <w:t>Figure 3</w:t>
      </w:r>
      <w:r>
        <w:rPr>
          <w:rFonts w:hint="eastAsia"/>
        </w:rPr>
        <w:t xml:space="preserve"> Two PUCCH-SRs are configured in SpCell</w:t>
      </w:r>
    </w:p>
    <w:p>
      <w:pPr>
        <w:numPr>
          <w:ilvl w:val="0"/>
          <w:numId w:val="18"/>
        </w:numPr>
        <w:snapToGrid w:val="0"/>
        <w:spacing w:before="120" w:afterLines="50"/>
        <w:ind w:left="363" w:hanging="363"/>
      </w:pPr>
      <w:r>
        <w:rPr>
          <w:rFonts w:hint="eastAsia"/>
        </w:rPr>
        <w:t>For SpCell</w:t>
      </w:r>
    </w:p>
    <w:p>
      <w:pPr>
        <w:numPr>
          <w:ilvl w:val="1"/>
          <w:numId w:val="18"/>
        </w:numPr>
        <w:snapToGrid w:val="0"/>
        <w:spacing w:before="120" w:afterLines="50"/>
        <w:ind w:left="783" w:hanging="363"/>
      </w:pPr>
      <w:r>
        <w:rPr>
          <w:rFonts w:hint="eastAsia"/>
        </w:rPr>
        <w:t xml:space="preserve"> If only one TRP fails on SpCell, the PUCCH-SR transmitted to the non failed TRP is selected. For example, for SpCell, if only TRP 0 fails, PUCCH-SR1 will be selected by the UE. </w:t>
      </w:r>
    </w:p>
    <w:p>
      <w:pPr>
        <w:numPr>
          <w:ilvl w:val="1"/>
          <w:numId w:val="18"/>
        </w:numPr>
        <w:snapToGrid w:val="0"/>
        <w:spacing w:before="120" w:afterLines="50"/>
        <w:ind w:left="783" w:hanging="363"/>
      </w:pPr>
      <w:r>
        <w:rPr>
          <w:rFonts w:hint="eastAsia"/>
        </w:rPr>
        <w:t>If both TRPs of SpCell fail, then PRACH</w:t>
      </w:r>
      <w:r>
        <w:t xml:space="preserve"> procedure is initialized </w:t>
      </w:r>
      <w:r>
        <w:rPr>
          <w:rFonts w:hint="eastAsia"/>
        </w:rPr>
        <w:t xml:space="preserve">as agreed in RAN2. </w:t>
      </w:r>
    </w:p>
    <w:p>
      <w:pPr>
        <w:numPr>
          <w:ilvl w:val="0"/>
          <w:numId w:val="18"/>
        </w:numPr>
        <w:snapToGrid w:val="0"/>
        <w:spacing w:before="120" w:afterLines="50"/>
        <w:ind w:left="363" w:hanging="363"/>
      </w:pPr>
      <w:r>
        <w:rPr>
          <w:rFonts w:hint="eastAsia"/>
        </w:rPr>
        <w:t xml:space="preserve">For SCell (neither of two TRPs fails on SpCell), </w:t>
      </w:r>
    </w:p>
    <w:p>
      <w:pPr>
        <w:numPr>
          <w:ilvl w:val="1"/>
          <w:numId w:val="18"/>
        </w:numPr>
        <w:snapToGrid w:val="0"/>
        <w:spacing w:before="120" w:afterLines="50"/>
        <w:ind w:left="783" w:hanging="363"/>
      </w:pPr>
      <w:r>
        <w:rPr>
          <w:rFonts w:hint="eastAsia"/>
        </w:rPr>
        <w:t>If only one TRP fails on SCell, the UE should choose the PUCCH-SR transmitted to the same TRP as the failed TRP of SCell to reduce the communication between TRPs.  For example, if only TRP0 of SCell fails, the PUCCH-SR0 is selected.</w:t>
      </w:r>
    </w:p>
    <w:p>
      <w:pPr>
        <w:numPr>
          <w:ilvl w:val="1"/>
          <w:numId w:val="18"/>
        </w:numPr>
        <w:snapToGrid w:val="0"/>
        <w:spacing w:before="120" w:afterLines="50"/>
        <w:ind w:left="783" w:hanging="363"/>
      </w:pPr>
      <w:r>
        <w:rPr>
          <w:rFonts w:hint="eastAsia"/>
        </w:rPr>
        <w:t xml:space="preserve">If both TRPs fail on SCell, two PUCCH-SRs can be selected to reduce the communication between TRPs and enhance the robust of PUCCH-SR especially for normal practical scenario of two TRPs with non-ideal back-haul, then two separate BFR MAC-CE can be directly sent to each TRP respectively. </w:t>
      </w:r>
    </w:p>
    <w:p>
      <w:pPr>
        <w:numPr>
          <w:ilvl w:val="1"/>
          <w:numId w:val="18"/>
        </w:numPr>
        <w:snapToGrid w:val="0"/>
        <w:spacing w:before="120" w:afterLines="50"/>
        <w:ind w:left="783" w:hanging="363"/>
      </w:pPr>
      <w:r>
        <w:rPr>
          <w:rFonts w:hint="eastAsia"/>
        </w:rPr>
        <w:t xml:space="preserve">Alternatively for multi-TRP with ideal back-haul, if both TRPs fail on SCell, the UE can select any one of the two PUCCH-SRs and a joint BFR-MAC-CE can be sent to one TRP. </w:t>
      </w:r>
    </w:p>
    <w:p>
      <w:pPr>
        <w:spacing w:before="120" w:line="271" w:lineRule="auto"/>
        <w:ind w:right="11"/>
        <w:rPr>
          <w:bCs/>
          <w:i/>
        </w:rPr>
      </w:pPr>
      <w:r>
        <w:rPr>
          <w:b/>
          <w:i/>
        </w:rPr>
        <w:t xml:space="preserve">Proposal </w:t>
      </w:r>
      <w:r>
        <w:rPr>
          <w:rFonts w:hint="eastAsia"/>
          <w:b/>
          <w:i/>
        </w:rPr>
        <w:t>6</w:t>
      </w:r>
      <w:r>
        <w:rPr>
          <w:b/>
          <w:i/>
        </w:rPr>
        <w:t>:</w:t>
      </w:r>
      <w:r>
        <w:rPr>
          <w:rFonts w:hint="eastAsia"/>
          <w:b/>
          <w:i/>
        </w:rPr>
        <w:t xml:space="preserve"> </w:t>
      </w:r>
      <w:r>
        <w:rPr>
          <w:bCs/>
          <w:i/>
        </w:rPr>
        <w:t>When up to two (or more) dedicated PUCCH-SR resources in a cell group are configured, association between one of PUCCH-SR resource(s) and CORESETPoolIndex should be supported for mDCI-mTRP.</w:t>
      </w:r>
    </w:p>
    <w:p>
      <w:pPr>
        <w:spacing w:before="120" w:line="271" w:lineRule="auto"/>
        <w:ind w:right="11"/>
        <w:rPr>
          <w:bCs/>
          <w:i/>
        </w:rPr>
      </w:pPr>
      <w:r>
        <w:rPr>
          <w:rFonts w:hint="eastAsia"/>
          <w:bCs/>
          <w:i/>
        </w:rPr>
        <w:t>-     In the case that one or more TRPs of S</w:t>
      </w:r>
      <w:r>
        <w:rPr>
          <w:bCs/>
          <w:i/>
        </w:rPr>
        <w:t>p</w:t>
      </w:r>
      <w:r>
        <w:rPr>
          <w:rFonts w:hint="eastAsia"/>
          <w:bCs/>
          <w:i/>
        </w:rPr>
        <w:t>Cell fail,</w:t>
      </w:r>
    </w:p>
    <w:p>
      <w:pPr>
        <w:numPr>
          <w:ilvl w:val="0"/>
          <w:numId w:val="21"/>
        </w:numPr>
        <w:spacing w:before="120" w:line="271" w:lineRule="auto"/>
        <w:ind w:right="11"/>
        <w:rPr>
          <w:bCs/>
          <w:i/>
        </w:rPr>
      </w:pPr>
      <w:r>
        <w:rPr>
          <w:rFonts w:hint="eastAsia"/>
          <w:bCs/>
          <w:i/>
        </w:rPr>
        <w:t>If one TRP of S</w:t>
      </w:r>
      <w:r>
        <w:rPr>
          <w:bCs/>
          <w:i/>
        </w:rPr>
        <w:t>p</w:t>
      </w:r>
      <w:r>
        <w:rPr>
          <w:rFonts w:hint="eastAsia"/>
          <w:bCs/>
          <w:i/>
        </w:rPr>
        <w:t>Cell fails, PUCCH-SR resource associated with same CORESETPoolIndex as non-failed BFD-RS set of SpCell (i.e., non-failed TRP) is transmitted.</w:t>
      </w:r>
    </w:p>
    <w:p>
      <w:pPr>
        <w:spacing w:before="120" w:line="271" w:lineRule="auto"/>
        <w:ind w:right="11"/>
        <w:rPr>
          <w:bCs/>
          <w:i/>
        </w:rPr>
      </w:pPr>
      <w:r>
        <w:rPr>
          <w:rFonts w:hint="eastAsia"/>
          <w:bCs/>
          <w:i/>
        </w:rPr>
        <w:t>-     In the case that no TRP of SpCell fails and one or more TRPs of Scell fail,</w:t>
      </w:r>
    </w:p>
    <w:p>
      <w:pPr>
        <w:numPr>
          <w:ilvl w:val="0"/>
          <w:numId w:val="22"/>
        </w:numPr>
        <w:spacing w:before="120" w:line="271" w:lineRule="auto"/>
        <w:ind w:right="11"/>
        <w:rPr>
          <w:bCs/>
          <w:i/>
        </w:rPr>
      </w:pPr>
      <w:r>
        <w:rPr>
          <w:bCs/>
          <w:i/>
        </w:rPr>
        <w:t xml:space="preserve">PUCCH-SR resource associated with same CORESETPoolIndex as failed BFD-RS set </w:t>
      </w:r>
      <w:r>
        <w:rPr>
          <w:rFonts w:hint="eastAsia"/>
          <w:bCs/>
          <w:i/>
        </w:rPr>
        <w:t xml:space="preserve">of Scell </w:t>
      </w:r>
      <w:r>
        <w:rPr>
          <w:bCs/>
          <w:i/>
        </w:rPr>
        <w:t>(i.e., failed TRP) is transmitted.</w:t>
      </w:r>
    </w:p>
    <w:p>
      <w:pPr>
        <w:numPr>
          <w:ilvl w:val="1"/>
          <w:numId w:val="6"/>
        </w:numPr>
        <w:snapToGrid w:val="0"/>
        <w:spacing w:before="120" w:afterLines="50" w:line="240" w:lineRule="auto"/>
        <w:outlineLvl w:val="1"/>
        <w:rPr>
          <w:b/>
          <w:sz w:val="28"/>
        </w:rPr>
      </w:pPr>
      <w:r>
        <w:rPr>
          <w:b/>
          <w:sz w:val="28"/>
        </w:rPr>
        <w:t>BFR MAC-CE</w:t>
      </w:r>
    </w:p>
    <w:p>
      <w:pPr>
        <w:spacing w:before="120" w:line="271" w:lineRule="auto"/>
        <w:ind w:right="11"/>
      </w:pPr>
      <w:r>
        <w:rPr>
          <w:rFonts w:hint="eastAsia"/>
        </w:rPr>
        <w:t>I</w:t>
      </w:r>
      <w:r>
        <w:t>n RAN1#10</w:t>
      </w:r>
      <w:r>
        <w:rPr>
          <w:rFonts w:hint="eastAsia"/>
        </w:rPr>
        <w:t>6</w:t>
      </w:r>
      <w:r>
        <w:t xml:space="preserve">-e, </w:t>
      </w:r>
      <w:r>
        <w:rPr>
          <w:rFonts w:hint="eastAsia"/>
        </w:rPr>
        <w:t xml:space="preserve">there is </w:t>
      </w:r>
      <w:r>
        <w:t xml:space="preserve">following agreement </w:t>
      </w:r>
      <w:r>
        <w:rPr>
          <w:rFonts w:hint="eastAsia"/>
        </w:rPr>
        <w:t>regard BFR MAC-CE</w:t>
      </w:r>
      <w:r>
        <w:t>.</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spacing w:before="120"/>
            </w:pPr>
            <w:r>
              <w:t>For multi-TRP BFR, a single MAC-CE is used at least for BFRQ for all TRPs in all CCs in a cell group, which includes</w:t>
            </w:r>
          </w:p>
          <w:p>
            <w:pPr>
              <w:pStyle w:val="113"/>
              <w:numPr>
                <w:ilvl w:val="0"/>
                <w:numId w:val="20"/>
              </w:numPr>
              <w:snapToGrid w:val="0"/>
              <w:spacing w:before="120"/>
              <w:ind w:firstLineChars="0"/>
              <w:contextualSpacing/>
            </w:pPr>
            <w:r>
              <w:rPr>
                <w:rFonts w:cs="Times"/>
              </w:rPr>
              <w:t>Indices of failed BFD-RS set (as an indication of failed TRP link)</w:t>
            </w:r>
          </w:p>
          <w:p>
            <w:pPr>
              <w:pStyle w:val="113"/>
              <w:numPr>
                <w:ilvl w:val="0"/>
                <w:numId w:val="20"/>
              </w:numPr>
              <w:snapToGrid w:val="0"/>
              <w:spacing w:before="120"/>
              <w:ind w:firstLineChars="0"/>
              <w:contextualSpacing/>
            </w:pPr>
            <w:r>
              <w:t>Indices of CC containing the failed TRP link</w:t>
            </w:r>
          </w:p>
          <w:p>
            <w:pPr>
              <w:pStyle w:val="113"/>
              <w:numPr>
                <w:ilvl w:val="0"/>
                <w:numId w:val="20"/>
              </w:numPr>
              <w:snapToGrid w:val="0"/>
              <w:spacing w:before="120"/>
              <w:ind w:firstLineChars="0"/>
              <w:contextualSpacing/>
            </w:pPr>
            <w: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pPr>
              <w:pStyle w:val="113"/>
              <w:numPr>
                <w:ilvl w:val="0"/>
                <w:numId w:val="20"/>
              </w:numPr>
              <w:snapToGrid w:val="0"/>
              <w:spacing w:before="120"/>
              <w:ind w:firstLineChars="0"/>
              <w:contextualSpacing/>
            </w:pPr>
            <w:r>
              <w:t>FFS: Content of MAC-CE related to SpCell when transmitted on msg3, msgA</w:t>
            </w:r>
          </w:p>
          <w:p>
            <w:pPr>
              <w:pStyle w:val="113"/>
              <w:numPr>
                <w:ilvl w:val="0"/>
                <w:numId w:val="20"/>
              </w:numPr>
              <w:snapToGrid w:val="0"/>
              <w:spacing w:before="120"/>
              <w:ind w:firstLineChars="0"/>
              <w:contextualSpacing/>
            </w:pPr>
            <w:r>
              <w:t>Note: MAC-CE signaling design details are up to RAN2</w:t>
            </w:r>
          </w:p>
          <w:p>
            <w:pPr>
              <w:pStyle w:val="113"/>
              <w:numPr>
                <w:ilvl w:val="0"/>
                <w:numId w:val="20"/>
              </w:numPr>
              <w:snapToGrid w:val="0"/>
              <w:spacing w:before="120"/>
              <w:ind w:firstLineChars="0"/>
              <w:contextualSpacing/>
            </w:pPr>
            <w:r>
              <w:t>The term “failed TRP link” is used here for discussion purposes only</w:t>
            </w:r>
          </w:p>
          <w:p>
            <w:pPr>
              <w:pStyle w:val="114"/>
              <w:numPr>
                <w:ilvl w:val="255"/>
                <w:numId w:val="0"/>
              </w:numPr>
              <w:snapToGrid w:val="0"/>
              <w:spacing w:before="0" w:beforeLines="0" w:beforeAutospacing="0" w:after="0" w:afterAutospacing="0" w:line="240" w:lineRule="auto"/>
              <w:rPr>
                <w:rFonts w:cs="Times"/>
                <w:sz w:val="2"/>
                <w:szCs w:val="2"/>
              </w:rPr>
            </w:pPr>
          </w:p>
        </w:tc>
      </w:tr>
    </w:tbl>
    <w:p>
      <w:pPr>
        <w:numPr>
          <w:ilvl w:val="255"/>
          <w:numId w:val="0"/>
        </w:numPr>
        <w:spacing w:before="120" w:after="0"/>
      </w:pPr>
      <w:r>
        <w:rPr>
          <w:rFonts w:hint="eastAsia"/>
        </w:rPr>
        <w:t>For a joint MAC-CE on msg3/msgA, two bits corresponding two TRPs of SpCell can be included in the joint MAC-CE. Each of the two bits can indicate whether beam failure is detected for the corresponding TRP of SpCell. But up to one octet including AC</w:t>
      </w:r>
      <w:r>
        <w:t xml:space="preserve"> field (to indicate the presence of new candidate beam field)</w:t>
      </w:r>
      <w:r>
        <w:rPr>
          <w:rFonts w:hint="eastAsia"/>
        </w:rPr>
        <w:t xml:space="preserve"> and new </w:t>
      </w:r>
      <w:r>
        <w:t xml:space="preserve">candidate </w:t>
      </w:r>
      <w:r>
        <w:rPr>
          <w:rFonts w:hint="eastAsia"/>
        </w:rPr>
        <w:t xml:space="preserve">beam </w:t>
      </w:r>
      <w:r>
        <w:t>field</w:t>
      </w:r>
      <w:r>
        <w:rPr>
          <w:rFonts w:hint="eastAsia"/>
        </w:rPr>
        <w:t xml:space="preserve"> is contained for SpCell, different from SCell </w:t>
      </w:r>
      <w:r>
        <w:t xml:space="preserve">for </w:t>
      </w:r>
      <w:r>
        <w:rPr>
          <w:rFonts w:hint="eastAsia"/>
        </w:rPr>
        <w:t xml:space="preserve">which up to two octets including AC </w:t>
      </w:r>
      <w:r>
        <w:t xml:space="preserve">field </w:t>
      </w:r>
      <w:r>
        <w:rPr>
          <w:rFonts w:hint="eastAsia"/>
        </w:rPr>
        <w:t xml:space="preserve">and new </w:t>
      </w:r>
      <w:r>
        <w:t xml:space="preserve">candidate </w:t>
      </w:r>
      <w:r>
        <w:rPr>
          <w:rFonts w:hint="eastAsia"/>
        </w:rPr>
        <w:t xml:space="preserve">beam </w:t>
      </w:r>
      <w:r>
        <w:t>field</w:t>
      </w:r>
      <w:r>
        <w:rPr>
          <w:rFonts w:hint="eastAsia"/>
        </w:rPr>
        <w:t xml:space="preserve"> can be contained. </w:t>
      </w:r>
      <w:r>
        <w:t>It is b</w:t>
      </w:r>
      <w:r>
        <w:rPr>
          <w:rFonts w:hint="eastAsia"/>
        </w:rPr>
        <w:t xml:space="preserve">ecause </w:t>
      </w:r>
      <w:r>
        <w:t xml:space="preserve">that </w:t>
      </w:r>
      <w:r>
        <w:rPr>
          <w:rFonts w:hint="eastAsia"/>
        </w:rPr>
        <w:t xml:space="preserve">new beam of one TRP of SpCell has been transmitted by preamble of PRACH, </w:t>
      </w:r>
      <w:r>
        <w:t xml:space="preserve">and </w:t>
      </w:r>
      <w:r>
        <w:rPr>
          <w:rFonts w:hint="eastAsia"/>
        </w:rPr>
        <w:t xml:space="preserve">it is unnecessary to include the new beam of the TRP of SpCell in the joint MAC-CE. </w:t>
      </w:r>
    </w:p>
    <w:p>
      <w:pPr>
        <w:numPr>
          <w:ilvl w:val="255"/>
          <w:numId w:val="0"/>
        </w:numPr>
        <w:spacing w:before="120" w:after="0"/>
        <w:rPr>
          <w:i/>
          <w:iCs/>
        </w:rPr>
      </w:pPr>
      <w:r>
        <w:rPr>
          <w:b/>
          <w:i/>
        </w:rPr>
        <w:t xml:space="preserve">Proposal </w:t>
      </w:r>
      <w:r>
        <w:rPr>
          <w:rFonts w:hint="eastAsia"/>
          <w:b/>
          <w:i/>
        </w:rPr>
        <w:t>7</w:t>
      </w:r>
      <w:r>
        <w:rPr>
          <w:b/>
          <w:i/>
        </w:rPr>
        <w:t xml:space="preserve">: </w:t>
      </w:r>
      <w:r>
        <w:rPr>
          <w:rFonts w:hint="eastAsia"/>
          <w:i/>
        </w:rPr>
        <w:t xml:space="preserve"> For a joint MAC-CE on msg3/msgA</w:t>
      </w:r>
      <w:r>
        <w:rPr>
          <w:i/>
        </w:rPr>
        <w:t>, two</w:t>
      </w:r>
      <w:r>
        <w:rPr>
          <w:rFonts w:hint="eastAsia"/>
          <w:i/>
        </w:rPr>
        <w:t xml:space="preserve"> bits corresponding</w:t>
      </w:r>
      <w:r>
        <w:rPr>
          <w:i/>
        </w:rPr>
        <w:t xml:space="preserve"> to</w:t>
      </w:r>
      <w:r>
        <w:rPr>
          <w:rFonts w:hint="eastAsia"/>
          <w:i/>
        </w:rPr>
        <w:t xml:space="preserve"> two TRPs of SpCell and up to one</w:t>
      </w:r>
      <w:r>
        <w:rPr>
          <w:i/>
          <w:iCs/>
        </w:rPr>
        <w:t xml:space="preserve"> </w:t>
      </w:r>
      <w:r>
        <w:rPr>
          <w:rFonts w:hint="eastAsia"/>
          <w:i/>
          <w:iCs/>
        </w:rPr>
        <w:t>octet including AC</w:t>
      </w:r>
      <w:r>
        <w:rPr>
          <w:i/>
          <w:iCs/>
        </w:rPr>
        <w:t xml:space="preserve"> field (to indicate the presence of new candidate beam field)</w:t>
      </w:r>
      <w:r>
        <w:rPr>
          <w:rFonts w:hint="eastAsia"/>
          <w:i/>
          <w:iCs/>
        </w:rPr>
        <w:t xml:space="preserve"> and new </w:t>
      </w:r>
      <w:r>
        <w:rPr>
          <w:i/>
          <w:iCs/>
        </w:rPr>
        <w:t xml:space="preserve">candidate </w:t>
      </w:r>
      <w:r>
        <w:rPr>
          <w:rFonts w:hint="eastAsia"/>
          <w:i/>
          <w:iCs/>
        </w:rPr>
        <w:t xml:space="preserve">beam </w:t>
      </w:r>
      <w:r>
        <w:rPr>
          <w:i/>
          <w:iCs/>
        </w:rPr>
        <w:t>field</w:t>
      </w:r>
      <w:r>
        <w:rPr>
          <w:rFonts w:hint="eastAsia"/>
          <w:i/>
          <w:iCs/>
        </w:rPr>
        <w:t xml:space="preserve"> for one TRP of SpCell can be contained. </w:t>
      </w:r>
    </w:p>
    <w:p>
      <w:pPr>
        <w:numPr>
          <w:ilvl w:val="255"/>
          <w:numId w:val="0"/>
        </w:numPr>
        <w:spacing w:before="120" w:after="0"/>
      </w:pPr>
      <w:r>
        <w:rPr>
          <w:rFonts w:hint="eastAsia"/>
        </w:rPr>
        <w:t xml:space="preserve">When a beam failure is detected according to a BFD-RS set of a serving cell, the new beam should be selected from a candidate RS set associated with the BFD-RS set. The associated relationship between two BFD-RS sets and two candidates RS sets should be established. For example, a BFD-RS set is associated with a candidate RS set when they corresponds to same set index. </w:t>
      </w:r>
    </w:p>
    <w:p>
      <w:pPr>
        <w:numPr>
          <w:ilvl w:val="255"/>
          <w:numId w:val="0"/>
        </w:numPr>
        <w:spacing w:before="120" w:after="0"/>
      </w:pPr>
      <w:r>
        <w:rPr>
          <w:b/>
          <w:i/>
        </w:rPr>
        <w:t xml:space="preserve">Proposal </w:t>
      </w:r>
      <w:r>
        <w:rPr>
          <w:rFonts w:hint="eastAsia"/>
          <w:b/>
          <w:i/>
        </w:rPr>
        <w:t>8</w:t>
      </w:r>
      <w:r>
        <w:rPr>
          <w:b/>
          <w:i/>
        </w:rPr>
        <w:t xml:space="preserve">: </w:t>
      </w:r>
      <w:r>
        <w:rPr>
          <w:rFonts w:hint="eastAsia"/>
          <w:i/>
        </w:rPr>
        <w:t xml:space="preserve"> The associated relationship between two BFD-RS sets and two candidate RS sets should be established when they correspond to same set index.</w:t>
      </w:r>
    </w:p>
    <w:p>
      <w:pPr>
        <w:numPr>
          <w:ilvl w:val="1"/>
          <w:numId w:val="6"/>
        </w:numPr>
        <w:snapToGrid w:val="0"/>
        <w:spacing w:before="120" w:afterLines="50"/>
        <w:outlineLvl w:val="1"/>
      </w:pPr>
      <w:r>
        <w:rPr>
          <w:b/>
          <w:sz w:val="28"/>
        </w:rPr>
        <w:t>UE behavior after receiving gNB response</w:t>
      </w:r>
    </w:p>
    <w:p>
      <w:pPr>
        <w:spacing w:before="120" w:line="271" w:lineRule="auto"/>
        <w:ind w:right="11"/>
      </w:pPr>
      <w:r>
        <w:t>In RAN1#10</w:t>
      </w:r>
      <w:r>
        <w:rPr>
          <w:rFonts w:hint="eastAsia"/>
        </w:rPr>
        <w:t>6</w:t>
      </w:r>
      <w:r>
        <w:t xml:space="preserve">-e, </w:t>
      </w:r>
      <w:r>
        <w:rPr>
          <w:rFonts w:hint="eastAsia"/>
        </w:rPr>
        <w:t>BFRQ response from gNB</w:t>
      </w:r>
      <w:r>
        <w:t xml:space="preserve"> has been discussed, and the following agreement was reached. In this section, we discuss the UE behavior after receiving gNB response.</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113"/>
              <w:numPr>
                <w:ilvl w:val="255"/>
                <w:numId w:val="0"/>
              </w:numPr>
              <w:spacing w:before="0" w:beforeLines="0" w:after="0" w:line="240" w:lineRule="auto"/>
              <w:rPr>
                <w:b/>
                <w:u w:val="single"/>
              </w:rPr>
            </w:pPr>
            <w:r>
              <w:rPr>
                <w:b/>
                <w:u w:val="single"/>
              </w:rPr>
              <w:t>Agreement</w:t>
            </w:r>
          </w:p>
          <w:p>
            <w:pPr>
              <w:pStyle w:val="113"/>
              <w:numPr>
                <w:ilvl w:val="0"/>
                <w:numId w:val="23"/>
              </w:numPr>
              <w:spacing w:before="0" w:beforeLines="0" w:after="0"/>
              <w:ind w:left="763" w:hanging="363" w:firstLineChars="0"/>
            </w:pPr>
            <w: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pPr>
              <w:pStyle w:val="113"/>
              <w:numPr>
                <w:ilvl w:val="1"/>
                <w:numId w:val="20"/>
              </w:numPr>
              <w:snapToGrid w:val="0"/>
              <w:spacing w:before="120"/>
              <w:ind w:firstLineChars="0"/>
              <w:contextualSpacing/>
              <w:rPr>
                <w:rFonts w:cs="Times"/>
              </w:rPr>
            </w:pPr>
            <w:r>
              <w:rPr>
                <w:rFonts w:cs="Times"/>
              </w:rPr>
              <w:t>FFS: How to associate CORESET(s) with failed BFD-RS set</w:t>
            </w:r>
          </w:p>
          <w:p>
            <w:pPr>
              <w:pStyle w:val="113"/>
              <w:numPr>
                <w:ilvl w:val="1"/>
                <w:numId w:val="20"/>
              </w:numPr>
              <w:snapToGrid w:val="0"/>
              <w:spacing w:before="120"/>
              <w:ind w:firstLineChars="0"/>
              <w:contextualSpacing/>
              <w:rPr>
                <w:rFonts w:cs="Times"/>
              </w:rPr>
            </w:pPr>
            <w:r>
              <w:rPr>
                <w:rFonts w:cs="Times"/>
              </w:rPr>
              <w:t>FFS: SCS configuration of 28 symbols</w:t>
            </w:r>
          </w:p>
          <w:p>
            <w:pPr>
              <w:pStyle w:val="113"/>
              <w:numPr>
                <w:ilvl w:val="0"/>
                <w:numId w:val="23"/>
              </w:numPr>
              <w:spacing w:before="0" w:beforeLines="0" w:after="0"/>
              <w:ind w:left="763" w:hanging="363" w:firstLineChars="0"/>
            </w:pPr>
            <w:r>
              <w:t xml:space="preserve">FFS: Update of QCL assumption for other DL channels/RSs, UL spatial filter/power control assumption for PUCCH, and other UL channels/RSs </w:t>
            </w:r>
          </w:p>
          <w:p>
            <w:pPr>
              <w:pStyle w:val="113"/>
              <w:numPr>
                <w:ilvl w:val="0"/>
                <w:numId w:val="23"/>
              </w:numPr>
              <w:spacing w:before="0" w:beforeLines="0" w:after="0" w:line="240" w:lineRule="auto"/>
              <w:ind w:left="763" w:hanging="363" w:firstLineChars="0"/>
            </w:pPr>
            <w:r>
              <w:t xml:space="preserve">FFS: the case of CORESETs with 2 activated TCI states per CORESET. </w:t>
            </w:r>
          </w:p>
          <w:p>
            <w:pPr>
              <w:pStyle w:val="113"/>
              <w:numPr>
                <w:ilvl w:val="0"/>
                <w:numId w:val="23"/>
              </w:numPr>
              <w:spacing w:before="0" w:beforeLines="0" w:after="0" w:line="240" w:lineRule="auto"/>
              <w:ind w:left="763" w:hanging="363" w:firstLineChars="0"/>
            </w:pPr>
            <w:r>
              <w:t>The above applies to SCell and SpCell</w:t>
            </w:r>
          </w:p>
          <w:p>
            <w:pPr>
              <w:pStyle w:val="113"/>
              <w:numPr>
                <w:ilvl w:val="0"/>
                <w:numId w:val="23"/>
              </w:numPr>
              <w:spacing w:before="0" w:beforeLines="0" w:after="0" w:line="240" w:lineRule="auto"/>
              <w:ind w:left="763" w:hanging="363" w:firstLineChars="0"/>
              <w:rPr>
                <w:rFonts w:cs="Times"/>
              </w:rPr>
            </w:pPr>
            <w:r>
              <w:t>The above applies at least for the multi-DCI case</w:t>
            </w:r>
          </w:p>
        </w:tc>
      </w:tr>
    </w:tbl>
    <w:p>
      <w:pPr>
        <w:numPr>
          <w:ilvl w:val="2"/>
          <w:numId w:val="6"/>
        </w:numPr>
        <w:tabs>
          <w:tab w:val="left" w:pos="576"/>
          <w:tab w:val="clear" w:pos="720"/>
        </w:tabs>
        <w:snapToGrid w:val="0"/>
        <w:spacing w:before="120" w:afterLines="50"/>
        <w:outlineLvl w:val="2"/>
        <w:rPr>
          <w:b/>
          <w:bCs/>
          <w:sz w:val="24"/>
          <w:szCs w:val="24"/>
        </w:rPr>
      </w:pPr>
      <w:r>
        <w:rPr>
          <w:b/>
          <w:bCs/>
          <w:sz w:val="24"/>
          <w:szCs w:val="24"/>
        </w:rPr>
        <w:t>Establishing association between CORESET and  BFD-RS set</w:t>
      </w:r>
    </w:p>
    <w:p>
      <w:pPr>
        <w:numPr>
          <w:ilvl w:val="255"/>
          <w:numId w:val="0"/>
        </w:numPr>
        <w:snapToGrid w:val="0"/>
        <w:spacing w:before="120" w:afterLines="50"/>
      </w:pPr>
      <w:r>
        <w:rPr>
          <w:rFonts w:hint="eastAsia"/>
        </w:rPr>
        <w:t xml:space="preserve">The new beam of one TRP will be used to a CORESET pool associated with the failed BFD-RS set. The association between BFD-RS set and CORESET pool can be established when the CORESETPoolIndex of the CORESET and set index of the BFD-RS set are same. </w:t>
      </w:r>
    </w:p>
    <w:p>
      <w:pPr>
        <w:numPr>
          <w:ilvl w:val="255"/>
          <w:numId w:val="0"/>
        </w:numPr>
        <w:spacing w:before="120" w:line="271" w:lineRule="auto"/>
        <w:ind w:right="11"/>
        <w:rPr>
          <w:i/>
        </w:rPr>
      </w:pPr>
      <w:r>
        <w:rPr>
          <w:b/>
          <w:i/>
        </w:rPr>
        <w:t xml:space="preserve">Proposal </w:t>
      </w:r>
      <w:r>
        <w:rPr>
          <w:rFonts w:hint="eastAsia"/>
          <w:b/>
          <w:i/>
        </w:rPr>
        <w:t>9</w:t>
      </w:r>
      <w:r>
        <w:rPr>
          <w:b/>
          <w:i/>
        </w:rPr>
        <w:t>:</w:t>
      </w:r>
      <w:r>
        <w:rPr>
          <w:rFonts w:hint="eastAsia"/>
          <w:i/>
        </w:rPr>
        <w:t xml:space="preserve"> A CORESET is associated with a BFD-RS set when a CORESETPoolIndex configured with the CORESET and a BFD-RS set index of the BFD-RS set are same</w:t>
      </w:r>
      <w:r>
        <w:rPr>
          <w:i/>
        </w:rPr>
        <w:t>.</w:t>
      </w:r>
    </w:p>
    <w:p>
      <w:pPr>
        <w:numPr>
          <w:ilvl w:val="0"/>
          <w:numId w:val="11"/>
        </w:numPr>
        <w:snapToGrid w:val="0"/>
        <w:spacing w:before="120" w:afterLines="50"/>
        <w:ind w:left="363" w:hanging="363"/>
        <w:rPr>
          <w:i/>
          <w:iCs/>
        </w:rPr>
      </w:pPr>
      <w:r>
        <w:rPr>
          <w:i/>
          <w:iCs/>
        </w:rPr>
        <w:t xml:space="preserve">RS in one BFD-RS set should be QCL-ed with DMRS of a CORESET in a CORESET pool associated with the BFD-RS set. </w:t>
      </w:r>
    </w:p>
    <w:p>
      <w:pPr>
        <w:numPr>
          <w:ilvl w:val="2"/>
          <w:numId w:val="6"/>
        </w:numPr>
        <w:tabs>
          <w:tab w:val="left" w:pos="576"/>
          <w:tab w:val="clear" w:pos="720"/>
        </w:tabs>
        <w:snapToGrid w:val="0"/>
        <w:spacing w:before="120" w:afterLines="50"/>
        <w:outlineLvl w:val="2"/>
        <w:rPr>
          <w:b/>
          <w:bCs/>
          <w:sz w:val="24"/>
          <w:szCs w:val="24"/>
        </w:rPr>
      </w:pPr>
      <w:r>
        <w:rPr>
          <w:b/>
          <w:bCs/>
          <w:sz w:val="24"/>
          <w:szCs w:val="24"/>
        </w:rPr>
        <w:t>Beam and power control update for CORESET/PUCCH</w:t>
      </w:r>
    </w:p>
    <w:p>
      <w:pPr>
        <w:numPr>
          <w:ilvl w:val="255"/>
          <w:numId w:val="0"/>
        </w:numPr>
        <w:snapToGrid w:val="0"/>
        <w:spacing w:before="120" w:afterLines="50"/>
      </w:pPr>
      <w:r>
        <w:rPr>
          <w:rFonts w:hint="eastAsia"/>
        </w:rPr>
        <w:t>Similarly as the beam of a CORESET pool updated by the new beam associated with the failed TRP</w:t>
      </w:r>
      <w:r>
        <w:t>, the</w:t>
      </w:r>
      <w:r>
        <w:rPr>
          <w:rFonts w:hint="eastAsia"/>
        </w:rPr>
        <w:t xml:space="preserve"> UE </w:t>
      </w:r>
      <w:r>
        <w:t>shall</w:t>
      </w:r>
      <w:r>
        <w:rPr>
          <w:rFonts w:hint="eastAsia"/>
        </w:rPr>
        <w:t xml:space="preserve"> update the beam and power control only for PUCCH corresponding to each failed TRP respectively after receiving response from gNB </w:t>
      </w:r>
      <w:r>
        <w:t>side</w:t>
      </w:r>
      <w:r>
        <w:rPr>
          <w:rFonts w:hint="eastAsia"/>
        </w:rPr>
        <w:t>. The beam and power control for PUCCH corresponding to non-failed TRP</w:t>
      </w:r>
      <w:r>
        <w:t xml:space="preserve"> should not</w:t>
      </w:r>
      <w:r>
        <w:rPr>
          <w:rFonts w:hint="eastAsia"/>
        </w:rPr>
        <w:t xml:space="preserve"> be updated.</w:t>
      </w:r>
      <w:r>
        <w:t xml:space="preserve"> Therefore,</w:t>
      </w:r>
      <w:r>
        <w:rPr>
          <w:rFonts w:hint="eastAsia"/>
        </w:rPr>
        <w:t xml:space="preserve"> we need to set up</w:t>
      </w:r>
      <w:r>
        <w:t xml:space="preserve"> the</w:t>
      </w:r>
      <w:r>
        <w:rPr>
          <w:rFonts w:hint="eastAsia"/>
        </w:rPr>
        <w:t xml:space="preserve"> relationship between two candidate RS sets and two sets of CORESET/PUCCH as shown in Figure 4. </w:t>
      </w:r>
    </w:p>
    <w:p>
      <w:pPr>
        <w:snapToGrid w:val="0"/>
        <w:spacing w:before="120" w:afterLines="50"/>
        <w:jc w:val="center"/>
      </w:pPr>
      <w:r>
        <w:object>
          <v:shape id="_x0000_i1026" o:spt="75" type="#_x0000_t75" style="height:126pt;width:434pt;" o:ole="t" filled="f" o:preferrelative="t" stroked="f" coordsize="21600,21600">
            <v:path/>
            <v:fill on="f" focussize="0,0"/>
            <v:stroke on="f" joinstyle="miter"/>
            <v:imagedata r:id="rId15" o:title=""/>
            <o:lock v:ext="edit" aspectratio="t"/>
            <w10:wrap type="none"/>
            <w10:anchorlock/>
          </v:shape>
          <o:OLEObject Type="Embed" ProgID="Visio.Drawing.11" ShapeID="_x0000_i1026" DrawAspect="Content" ObjectID="_1468075726" r:id="rId14">
            <o:LockedField>false</o:LockedField>
          </o:OLEObject>
        </w:object>
      </w:r>
    </w:p>
    <w:p>
      <w:pPr>
        <w:numPr>
          <w:ilvl w:val="255"/>
          <w:numId w:val="0"/>
        </w:numPr>
        <w:spacing w:before="120" w:line="240" w:lineRule="auto"/>
        <w:jc w:val="center"/>
      </w:pPr>
      <w:r>
        <w:rPr>
          <w:b/>
        </w:rPr>
        <w:t>Figure</w:t>
      </w:r>
      <w:r>
        <w:rPr>
          <w:rFonts w:hint="eastAsia"/>
          <w:b/>
        </w:rPr>
        <w:t xml:space="preserve"> 4</w:t>
      </w:r>
      <w:r>
        <w:rPr>
          <w:bCs/>
        </w:rPr>
        <w:t xml:space="preserve"> </w:t>
      </w:r>
      <w:r>
        <w:rPr>
          <w:rFonts w:hint="eastAsia"/>
          <w:bCs/>
        </w:rPr>
        <w:t>Framework for TRP-specific BFR</w:t>
      </w:r>
      <w:r>
        <w:rPr>
          <w:bCs/>
        </w:rPr>
        <w:t xml:space="preserve"> in mDCI-mTRP</w:t>
      </w:r>
    </w:p>
    <w:p>
      <w:pPr>
        <w:numPr>
          <w:ilvl w:val="0"/>
          <w:numId w:val="11"/>
        </w:numPr>
        <w:snapToGrid w:val="0"/>
        <w:spacing w:before="120" w:afterLines="50"/>
        <w:ind w:left="363" w:hanging="363"/>
      </w:pPr>
      <w:r>
        <w:rPr>
          <w:rFonts w:hint="eastAsia"/>
        </w:rPr>
        <w:t>We can configure</w:t>
      </w:r>
      <w:r>
        <w:rPr>
          <w:rFonts w:hint="eastAsia"/>
          <w:i/>
        </w:rPr>
        <w:t xml:space="preserve"> </w:t>
      </w:r>
      <w:r>
        <w:rPr>
          <w:i/>
          <w:iCs/>
        </w:rPr>
        <w:t>CORESETPoolIndex</w:t>
      </w:r>
      <w:r>
        <w:rPr>
          <w:rFonts w:hint="eastAsia"/>
          <w:i/>
          <w:iCs/>
        </w:rPr>
        <w:t>/Candidate RS set index/BFD-RS set index</w:t>
      </w:r>
      <w:r>
        <w:rPr>
          <w:rFonts w:hint="eastAsia"/>
        </w:rPr>
        <w:t xml:space="preserve"> for a PUCCH group configured for updating spatial relation simultaneously.</w:t>
      </w:r>
    </w:p>
    <w:p>
      <w:pPr>
        <w:numPr>
          <w:ilvl w:val="0"/>
          <w:numId w:val="11"/>
        </w:numPr>
        <w:snapToGrid w:val="0"/>
        <w:spacing w:before="120" w:afterLines="50"/>
        <w:ind w:left="363" w:hanging="363"/>
      </w:pPr>
      <w:r>
        <w:t>Besides, w</w:t>
      </w:r>
      <w:r>
        <w:rPr>
          <w:rFonts w:hint="eastAsia"/>
        </w:rPr>
        <w:t>hen the UE can</w:t>
      </w:r>
      <w:r>
        <w:t xml:space="preserve"> NOT</w:t>
      </w:r>
      <w:r>
        <w:rPr>
          <w:rFonts w:hint="eastAsia"/>
        </w:rPr>
        <w:t xml:space="preserve"> select a new candidate RS for a failed TRP, </w:t>
      </w:r>
      <w:r>
        <w:t>the UE can</w:t>
      </w:r>
      <w:r>
        <w:rPr>
          <w:rFonts w:hint="eastAsia"/>
        </w:rPr>
        <w:t xml:space="preserve"> deactivate the failed TRP and stop reporting HARQ-ACK for the failed TRP. </w:t>
      </w:r>
    </w:p>
    <w:p>
      <w:pPr>
        <w:numPr>
          <w:ilvl w:val="255"/>
          <w:numId w:val="0"/>
        </w:numPr>
        <w:snapToGrid w:val="0"/>
        <w:spacing w:before="120"/>
      </w:pPr>
      <w:r>
        <w:rPr>
          <w:rFonts w:hint="eastAsia"/>
        </w:rPr>
        <w:t>For the beam fail recovery, after UE receives response from gNB within a period, UE can apply the new beam. In the current spec</w:t>
      </w:r>
      <w:r>
        <w:t>ification</w:t>
      </w:r>
      <w:r>
        <w:rPr>
          <w:rFonts w:hint="eastAsia"/>
        </w:rPr>
        <w:t xml:space="preserve">, a period of time is described as 28 symbols from a last symbol of a PDCCH reception with a DCI format scheduling a PUSCH transmission with a same HARQ process number as for the transmission of the first PUSCH and having a toggled NDI field value. </w:t>
      </w:r>
      <w:r>
        <w:t>Further,</w:t>
      </w:r>
      <w:r>
        <w:rPr>
          <w:rFonts w:hint="eastAsia"/>
        </w:rPr>
        <w:t xml:space="preserve"> the 28 symbols is based on the smallest SCS of the response receiving cell and the failed cell.</w:t>
      </w:r>
      <w:r>
        <w:t xml:space="preserve"> </w:t>
      </w:r>
      <w:r>
        <w:rPr>
          <w:rFonts w:hint="eastAsia"/>
        </w:rPr>
        <w:t>However, for MTRP beam fail recovery,</w:t>
      </w:r>
      <w:r>
        <w:t xml:space="preserve"> SCS configuration for the 28 symbols</w:t>
      </w:r>
      <w:r>
        <w:rPr>
          <w:rFonts w:hint="eastAsia"/>
        </w:rPr>
        <w:t xml:space="preserve"> needs to be further studied</w:t>
      </w:r>
      <w:r>
        <w:t xml:space="preserve"> due to the following reason.</w:t>
      </w:r>
    </w:p>
    <w:p>
      <w:pPr>
        <w:numPr>
          <w:ilvl w:val="0"/>
          <w:numId w:val="11"/>
        </w:numPr>
        <w:spacing w:before="120" w:after="0"/>
        <w:ind w:left="363" w:hanging="363"/>
      </w:pPr>
      <w:r>
        <w:rPr>
          <w:rFonts w:hint="eastAsia"/>
        </w:rPr>
        <w:t>For instance, one MAC-CE (like separate BFR MAC-CE) only can contain that BFR information (failed cells) for a single TRP, and then the UE can determine the the smallest SCS according to all failed cells corresponding to the TRP and the cell receiving the gNB response/PDCCH. For example, when TRP 0 fails on cell-1 and cell-2 as declared in the MAC-CE, UE can determine the the smallest SCS according cell-1 and cell-2 as well as the cell receiving the PDCCH as gNB response for the TRP 0.</w:t>
      </w:r>
    </w:p>
    <w:p>
      <w:pPr>
        <w:spacing w:before="120" w:line="271" w:lineRule="auto"/>
        <w:ind w:right="11"/>
        <w:rPr>
          <w:i/>
        </w:rPr>
      </w:pPr>
      <w:r>
        <w:rPr>
          <w:b/>
          <w:i/>
        </w:rPr>
        <w:t xml:space="preserve">Proposal </w:t>
      </w:r>
      <w:r>
        <w:rPr>
          <w:rFonts w:hint="eastAsia"/>
          <w:b/>
          <w:i/>
        </w:rPr>
        <w:t>10</w:t>
      </w:r>
      <w:r>
        <w:rPr>
          <w:b/>
          <w:i/>
        </w:rPr>
        <w:t>:</w:t>
      </w:r>
      <w:r>
        <w:rPr>
          <w:rFonts w:hint="eastAsia"/>
          <w:i/>
        </w:rPr>
        <w:t xml:space="preserve"> Th</w:t>
      </w:r>
      <w:r>
        <w:rPr>
          <w:i/>
        </w:rPr>
        <w:t>e beam</w:t>
      </w:r>
      <w:r>
        <w:rPr>
          <w:rFonts w:hint="eastAsia"/>
          <w:i/>
        </w:rPr>
        <w:t xml:space="preserve"> and power control</w:t>
      </w:r>
      <w:r>
        <w:rPr>
          <w:i/>
        </w:rPr>
        <w:t xml:space="preserve"> for CORESET/PUCCH should be updated according to a reported candidate RS, only if the PUCCH is associated with the same CORESETPoolIndex</w:t>
      </w:r>
      <w:r>
        <w:rPr>
          <w:rFonts w:hint="eastAsia"/>
          <w:i/>
        </w:rPr>
        <w:t>/BFD-RS set index/Candidate RS set index</w:t>
      </w:r>
      <w:r>
        <w:rPr>
          <w:i/>
        </w:rPr>
        <w:t>.</w:t>
      </w:r>
    </w:p>
    <w:p>
      <w:pPr>
        <w:numPr>
          <w:ilvl w:val="0"/>
          <w:numId w:val="24"/>
        </w:numPr>
        <w:spacing w:before="120" w:after="0"/>
        <w:ind w:left="363" w:hanging="363"/>
        <w:rPr>
          <w:i/>
          <w:iCs/>
        </w:rPr>
      </w:pPr>
      <w:r>
        <w:rPr>
          <w:rFonts w:hint="eastAsia"/>
          <w:i/>
          <w:iCs/>
        </w:rPr>
        <w:t>CORESETPoolIndex</w:t>
      </w:r>
      <w:r>
        <w:rPr>
          <w:rFonts w:hint="eastAsia"/>
          <w:i/>
        </w:rPr>
        <w:t>/BFD-RS set index/Candidate RS set index</w:t>
      </w:r>
      <w:r>
        <w:rPr>
          <w:i/>
          <w:iCs/>
        </w:rPr>
        <w:t xml:space="preserve"> is introduced for PUCCH configuration, in order to initialize TRP-specific PUCCH’s beam update</w:t>
      </w:r>
      <w:r>
        <w:rPr>
          <w:rFonts w:hint="eastAsia"/>
          <w:i/>
          <w:iCs/>
          <w:lang w:val="en-US" w:eastAsia="zh-CN"/>
        </w:rPr>
        <w:t>.</w:t>
      </w:r>
    </w:p>
    <w:p>
      <w:pPr>
        <w:numPr>
          <w:ilvl w:val="0"/>
          <w:numId w:val="24"/>
        </w:numPr>
        <w:spacing w:before="120" w:after="0"/>
        <w:ind w:left="363" w:hanging="363"/>
        <w:rPr>
          <w:i/>
          <w:iCs/>
        </w:rPr>
      </w:pPr>
      <w:r>
        <w:rPr>
          <w:i/>
          <w:iCs/>
        </w:rPr>
        <w:t>Deactivating CORESET(s) associated with the same CORESETPoolIndex, if no candidate RS can be identified.</w:t>
      </w:r>
    </w:p>
    <w:p>
      <w:pPr>
        <w:numPr>
          <w:ilvl w:val="0"/>
          <w:numId w:val="24"/>
        </w:numPr>
        <w:spacing w:before="120" w:after="0"/>
        <w:ind w:left="363" w:hanging="363"/>
        <w:rPr>
          <w:i/>
          <w:iCs/>
        </w:rPr>
      </w:pPr>
      <w:r>
        <w:rPr>
          <w:i/>
          <w:iCs/>
        </w:rPr>
        <w:t xml:space="preserve">28 symbols </w:t>
      </w:r>
      <w:r>
        <w:rPr>
          <w:rFonts w:hint="eastAsia"/>
          <w:i/>
          <w:iCs/>
        </w:rPr>
        <w:t xml:space="preserve">are determined through the smallest SCS according to all cells </w:t>
      </w:r>
      <w:r>
        <w:rPr>
          <w:i/>
          <w:iCs/>
        </w:rPr>
        <w:t>containing</w:t>
      </w:r>
      <w:r>
        <w:rPr>
          <w:rFonts w:hint="eastAsia"/>
          <w:i/>
          <w:iCs/>
        </w:rPr>
        <w:t xml:space="preserve"> failed TRP</w:t>
      </w:r>
      <w:r>
        <w:rPr>
          <w:i/>
          <w:iCs/>
        </w:rPr>
        <w:t>(s)</w:t>
      </w:r>
      <w:r>
        <w:rPr>
          <w:rFonts w:hint="eastAsia"/>
          <w:i/>
          <w:iCs/>
        </w:rPr>
        <w:t xml:space="preserve"> and the cell receiving the gNB response/PDCCH from the failed TRP.</w:t>
      </w:r>
    </w:p>
    <w:p>
      <w:pPr>
        <w:numPr>
          <w:ilvl w:val="2"/>
          <w:numId w:val="6"/>
        </w:numPr>
        <w:tabs>
          <w:tab w:val="left" w:pos="576"/>
          <w:tab w:val="clear" w:pos="720"/>
        </w:tabs>
        <w:snapToGrid w:val="0"/>
        <w:spacing w:before="120" w:afterLines="50"/>
        <w:outlineLvl w:val="2"/>
        <w:rPr>
          <w:b/>
          <w:bCs/>
          <w:sz w:val="24"/>
          <w:szCs w:val="24"/>
        </w:rPr>
      </w:pPr>
      <w:r>
        <w:rPr>
          <w:b/>
          <w:bCs/>
          <w:sz w:val="24"/>
          <w:szCs w:val="24"/>
        </w:rPr>
        <w:t xml:space="preserve">CORESET with two activated TCI state </w:t>
      </w:r>
    </w:p>
    <w:p>
      <w:pPr>
        <w:numPr>
          <w:ilvl w:val="255"/>
          <w:numId w:val="0"/>
        </w:numPr>
        <w:spacing w:before="120" w:after="0"/>
      </w:pPr>
      <w:r>
        <w:rPr>
          <w:rFonts w:hint="eastAsia"/>
        </w:rPr>
        <w:t xml:space="preserve">When a CORESET is activated with two TCI states, each of the two TCI states corresponds to a TRP. Each of the two TCI states should be updated by a new beam of one TRP respectively. For example, a CORESET is activated with two TCI state {TCI state 0, TCI state1}. TCI state 0 is associated with BFD-RS set 0 and TCI state 1 is associated with BFD-RS set 1. When beam failure is detected based on BFD-RS set 0, then </w:t>
      </w:r>
      <w:r>
        <w:rPr>
          <w:i/>
        </w:rPr>
        <w:t>QCL assumption</w:t>
      </w:r>
      <w:r>
        <w:rPr>
          <w:rFonts w:hint="eastAsia"/>
          <w:i/>
        </w:rPr>
        <w:t xml:space="preserve"> of </w:t>
      </w:r>
      <w:r>
        <w:rPr>
          <w:rFonts w:hint="eastAsia"/>
        </w:rPr>
        <w:t xml:space="preserve">TCI state 0 is updated by a new beam from a candidate RS set which corresponds to BFD-RS set 0. </w:t>
      </w:r>
    </w:p>
    <w:p>
      <w:pPr>
        <w:numPr>
          <w:ilvl w:val="255"/>
          <w:numId w:val="0"/>
        </w:numPr>
        <w:spacing w:before="120" w:after="0" w:line="271" w:lineRule="auto"/>
        <w:ind w:right="11"/>
      </w:pPr>
      <w:r>
        <w:rPr>
          <w:b/>
          <w:i/>
        </w:rPr>
        <w:t xml:space="preserve">Proposal </w:t>
      </w:r>
      <w:r>
        <w:rPr>
          <w:rFonts w:hint="eastAsia"/>
          <w:b/>
          <w:i/>
        </w:rPr>
        <w:t>11</w:t>
      </w:r>
      <w:r>
        <w:rPr>
          <w:b/>
          <w:i/>
        </w:rPr>
        <w:t>:</w:t>
      </w:r>
      <w:r>
        <w:rPr>
          <w:rFonts w:hint="eastAsia"/>
          <w:i/>
        </w:rPr>
        <w:t xml:space="preserve"> When a CORESET is activated with two TCI states each of which should corresponds to a </w:t>
      </w:r>
      <w:r>
        <w:rPr>
          <w:i/>
        </w:rPr>
        <w:t>respective</w:t>
      </w:r>
      <w:r>
        <w:rPr>
          <w:rFonts w:hint="eastAsia"/>
          <w:i/>
        </w:rPr>
        <w:t xml:space="preserve"> BFD-RS set, each of the two </w:t>
      </w:r>
      <w:r>
        <w:rPr>
          <w:i/>
        </w:rPr>
        <w:t>individual QCL assumptions of the CORESET</w:t>
      </w:r>
      <w:r>
        <w:rPr>
          <w:rFonts w:hint="eastAsia"/>
          <w:i/>
        </w:rPr>
        <w:t xml:space="preserve"> should be respectively updated </w:t>
      </w:r>
      <w:r>
        <w:rPr>
          <w:i/>
        </w:rPr>
        <w:t>according to</w:t>
      </w:r>
      <w:r>
        <w:rPr>
          <w:rFonts w:hint="eastAsia"/>
          <w:i/>
        </w:rPr>
        <w:t xml:space="preserve"> a new reported candidate RS of a failed TRP</w:t>
      </w:r>
      <w:r>
        <w:rPr>
          <w:i/>
        </w:rPr>
        <w:t>.</w:t>
      </w:r>
    </w:p>
    <w:p>
      <w:pPr>
        <w:numPr>
          <w:ilvl w:val="2"/>
          <w:numId w:val="6"/>
        </w:numPr>
        <w:tabs>
          <w:tab w:val="left" w:pos="576"/>
          <w:tab w:val="clear" w:pos="720"/>
        </w:tabs>
        <w:snapToGrid w:val="0"/>
        <w:spacing w:before="120" w:afterLines="50"/>
        <w:outlineLvl w:val="2"/>
        <w:rPr>
          <w:b/>
          <w:bCs/>
          <w:sz w:val="24"/>
          <w:szCs w:val="24"/>
        </w:rPr>
      </w:pPr>
      <w:r>
        <w:rPr>
          <w:b/>
          <w:bCs/>
          <w:sz w:val="24"/>
          <w:szCs w:val="24"/>
        </w:rPr>
        <w:t>Updating beam of CORESET/PUCCH in a CC list</w:t>
      </w:r>
    </w:p>
    <w:p>
      <w:pPr>
        <w:numPr>
          <w:ilvl w:val="255"/>
          <w:numId w:val="0"/>
        </w:numPr>
        <w:spacing w:before="120" w:after="0"/>
      </w:pPr>
      <w:r>
        <w:rPr>
          <w:rFonts w:hint="eastAsia"/>
        </w:rPr>
        <w:t>Because the TCI states of CORESET in a CC list can be updated simultaneously, the beam of the CC list is same. The UE only need to detect beam failure for one CC of the CC list. When the UE detects that beam failure for one TRP on one CC, the beam of all CORESETs associated with the failed TRP in the CC list should be updated simultaneously to reduce the delay of BFR and signaling, otherwise the gNB should update beam of each CORESET in each CC.</w:t>
      </w:r>
    </w:p>
    <w:p>
      <w:pPr>
        <w:numPr>
          <w:ilvl w:val="255"/>
          <w:numId w:val="0"/>
        </w:numPr>
        <w:spacing w:before="120" w:after="0"/>
      </w:pPr>
      <w:r>
        <w:rPr>
          <w:b/>
          <w:i/>
        </w:rPr>
        <w:t xml:space="preserve">Proposal </w:t>
      </w:r>
      <w:r>
        <w:rPr>
          <w:rFonts w:hint="eastAsia"/>
          <w:b/>
          <w:i/>
        </w:rPr>
        <w:t>12</w:t>
      </w:r>
      <w:r>
        <w:rPr>
          <w:b/>
          <w:i/>
        </w:rPr>
        <w:t>:</w:t>
      </w:r>
      <w:r>
        <w:rPr>
          <w:rFonts w:hint="eastAsia"/>
          <w:i/>
        </w:rPr>
        <w:t xml:space="preserve"> The </w:t>
      </w:r>
      <w:r>
        <w:rPr>
          <w:i/>
        </w:rPr>
        <w:t>QCL assumption</w:t>
      </w:r>
      <w:r>
        <w:rPr>
          <w:rFonts w:hint="eastAsia"/>
          <w:i/>
        </w:rPr>
        <w:t xml:space="preserve"> of all CORESETs associated with a same CORESETPoolIndex in a CC list </w:t>
      </w:r>
      <w:r>
        <w:rPr>
          <w:i/>
        </w:rPr>
        <w:t>should</w:t>
      </w:r>
      <w:r>
        <w:rPr>
          <w:rFonts w:hint="eastAsia"/>
          <w:i/>
        </w:rPr>
        <w:t xml:space="preserve"> be updated by a new reported candidate RS associated with the same CORESETPoolIndex simultaneously. </w:t>
      </w:r>
    </w:p>
    <w:p>
      <w:pPr>
        <w:numPr>
          <w:ilvl w:val="0"/>
          <w:numId w:val="6"/>
        </w:numPr>
        <w:tabs>
          <w:tab w:val="clear" w:pos="432"/>
        </w:tabs>
        <w:snapToGrid w:val="0"/>
        <w:spacing w:before="120" w:afterLines="50"/>
        <w:ind w:left="425" w:hanging="425"/>
        <w:outlineLvl w:val="0"/>
        <w:rPr>
          <w:b/>
          <w:sz w:val="28"/>
          <w:szCs w:val="28"/>
        </w:rPr>
      </w:pPr>
      <w:r>
        <w:rPr>
          <w:b/>
          <w:sz w:val="28"/>
          <w:szCs w:val="28"/>
        </w:rPr>
        <w:t>Discussion on RRC parameters for mTRP-BM</w:t>
      </w:r>
    </w:p>
    <w:p>
      <w:pPr>
        <w:overflowPunct w:val="0"/>
        <w:autoSpaceDE w:val="0"/>
        <w:autoSpaceDN w:val="0"/>
        <w:adjustRightInd w:val="0"/>
        <w:spacing w:before="120"/>
        <w:textAlignment w:val="baseline"/>
        <w:rPr>
          <w:rFonts w:eastAsia="微软雅黑"/>
          <w:lang w:val="en-GB"/>
        </w:rPr>
      </w:pPr>
      <w:r>
        <w:rPr>
          <w:rFonts w:eastAsia="微软雅黑"/>
          <w:lang w:val="en-GB"/>
        </w:rPr>
        <w:t>In this section, draft RRC parameters for mTRP-BM from Feature-Lead are provided in [</w:t>
      </w:r>
      <w:r>
        <w:rPr>
          <w:rFonts w:hint="eastAsia" w:eastAsia="微软雅黑"/>
        </w:rPr>
        <w:t>3</w:t>
      </w:r>
      <w:r>
        <w:rPr>
          <w:rFonts w:eastAsia="微软雅黑"/>
          <w:lang w:val="en-GB"/>
        </w:rPr>
        <w:t>], and our corresponding views are elaborated herein.</w:t>
      </w:r>
    </w:p>
    <w:p>
      <w:pPr>
        <w:numPr>
          <w:ilvl w:val="1"/>
          <w:numId w:val="6"/>
        </w:numPr>
        <w:snapToGrid w:val="0"/>
        <w:spacing w:before="120" w:afterLines="50"/>
        <w:outlineLvl w:val="1"/>
        <w:rPr>
          <w:b/>
          <w:sz w:val="28"/>
        </w:rPr>
      </w:pPr>
      <w:r>
        <w:rPr>
          <w:b/>
          <w:sz w:val="28"/>
          <w:lang w:val="en-GB"/>
        </w:rPr>
        <w:t>Group based reporting</w:t>
      </w:r>
    </w:p>
    <w:p>
      <w:pPr>
        <w:overflowPunct w:val="0"/>
        <w:autoSpaceDE w:val="0"/>
        <w:autoSpaceDN w:val="0"/>
        <w:adjustRightInd w:val="0"/>
        <w:spacing w:before="120"/>
        <w:textAlignment w:val="baseline"/>
        <w:rPr>
          <w:rFonts w:eastAsia="微软雅黑"/>
          <w:lang w:val="en-GB"/>
        </w:rPr>
      </w:pPr>
      <w:r>
        <w:rPr>
          <w:rFonts w:eastAsia="微软雅黑"/>
          <w:lang w:val="en-GB"/>
        </w:rPr>
        <w:t xml:space="preserve">Considering that </w:t>
      </w:r>
      <w:r>
        <w:rPr>
          <w:rFonts w:eastAsia="微软雅黑"/>
          <w:i/>
          <w:iCs/>
          <w:lang w:val="en-GB"/>
        </w:rPr>
        <w:t>maxNrofNZP-CSI-RS-ResourceSetsPerConfig</w:t>
      </w:r>
      <w:r>
        <w:rPr>
          <w:rFonts w:eastAsia="微软雅黑"/>
          <w:lang w:val="en-GB"/>
        </w:rPr>
        <w:t xml:space="preserve"> = 16 and </w:t>
      </w:r>
      <w:r>
        <w:rPr>
          <w:rFonts w:eastAsia="微软雅黑"/>
          <w:i/>
          <w:iCs/>
          <w:lang w:val="en-GB"/>
        </w:rPr>
        <w:t>maxNrofCSI-SSB-ResourceSetsPerConfig</w:t>
      </w:r>
      <w:r>
        <w:rPr>
          <w:rFonts w:eastAsia="微软雅黑"/>
          <w:lang w:val="en-GB"/>
        </w:rPr>
        <w:t xml:space="preserve"> =1, we only need to increase the upper bound for the number of CSI-RS resource sets in 38.214, i.e., to change ‘</w:t>
      </w:r>
      <w:r>
        <w:rPr>
          <w:rFonts w:eastAsia="微软雅黑"/>
          <w:i/>
          <w:iCs/>
          <w:lang w:val="en-GB"/>
        </w:rPr>
        <w:t>maxNrofCSI-SSB-ResourceSetsPerConfig</w:t>
      </w:r>
      <w:r>
        <w:rPr>
          <w:rFonts w:eastAsia="微软雅黑"/>
          <w:lang w:val="en-GB"/>
        </w:rPr>
        <w:t>’ to 2.</w:t>
      </w:r>
    </w:p>
    <w:p>
      <w:pPr>
        <w:pStyle w:val="113"/>
        <w:numPr>
          <w:ilvl w:val="0"/>
          <w:numId w:val="25"/>
        </w:numPr>
        <w:overflowPunct w:val="0"/>
        <w:autoSpaceDE w:val="0"/>
        <w:autoSpaceDN w:val="0"/>
        <w:adjustRightInd w:val="0"/>
        <w:spacing w:before="120"/>
        <w:ind w:firstLineChars="0"/>
        <w:textAlignment w:val="baseline"/>
        <w:rPr>
          <w:rFonts w:eastAsia="微软雅黑"/>
          <w:lang w:val="en-GB"/>
        </w:rPr>
      </w:pPr>
      <w:r>
        <w:rPr>
          <w:rFonts w:eastAsia="微软雅黑"/>
          <w:lang w:val="en-GB"/>
        </w:rPr>
        <w:t>Note: For periodic and semi-persistent CSI Resource Settings, the number of CSI-RS Resource Sets configured is limited to S=1 in TS 38.214 Section 5.2.1.2.</w:t>
      </w:r>
    </w:p>
    <w:p>
      <w:pPr>
        <w:pStyle w:val="98"/>
        <w:snapToGrid w:val="0"/>
        <w:rPr>
          <w:sz w:val="20"/>
          <w:szCs w:val="20"/>
          <w:lang w:val="en-GB"/>
        </w:rPr>
      </w:pPr>
      <w:r>
        <w:rPr>
          <w:sz w:val="20"/>
          <w:szCs w:val="20"/>
          <w:lang w:val="en-GB"/>
        </w:rPr>
        <w:t>For moving forward this issue, we slightly prefer to capture this suggestion in the RRC list as what we do for Item-8.1.1 multi-beam operation.</w:t>
      </w:r>
    </w:p>
    <w:p>
      <w:pPr>
        <w:spacing w:before="120"/>
        <w:rPr>
          <w:i/>
        </w:rPr>
      </w:pPr>
      <w:r>
        <w:rPr>
          <w:b/>
          <w:i/>
        </w:rPr>
        <w:t xml:space="preserve">Proposal </w:t>
      </w:r>
      <w:r>
        <w:rPr>
          <w:rFonts w:hint="eastAsia"/>
          <w:b/>
          <w:i/>
        </w:rPr>
        <w:t xml:space="preserve">13: </w:t>
      </w:r>
      <w:r>
        <w:rPr>
          <w:i/>
        </w:rPr>
        <w:t>For RRC configuration for group based reporting, the following modification is proposed in red.</w:t>
      </w:r>
    </w:p>
    <w:tbl>
      <w:tblPr>
        <w:tblStyle w:val="23"/>
        <w:tblW w:w="9355" w:type="dxa"/>
        <w:tblInd w:w="-5" w:type="dxa"/>
        <w:tblLayout w:type="autofit"/>
        <w:tblCellMar>
          <w:top w:w="0" w:type="dxa"/>
          <w:left w:w="108" w:type="dxa"/>
          <w:bottom w:w="0" w:type="dxa"/>
          <w:right w:w="108" w:type="dxa"/>
        </w:tblCellMar>
      </w:tblPr>
      <w:tblGrid>
        <w:gridCol w:w="2899"/>
        <w:gridCol w:w="1125"/>
        <w:gridCol w:w="414"/>
        <w:gridCol w:w="2915"/>
        <w:gridCol w:w="2002"/>
      </w:tblGrid>
      <w:tr>
        <w:tblPrEx>
          <w:tblCellMar>
            <w:top w:w="0" w:type="dxa"/>
            <w:left w:w="108" w:type="dxa"/>
            <w:bottom w:w="0" w:type="dxa"/>
            <w:right w:w="108" w:type="dxa"/>
          </w:tblCellMar>
        </w:tblPrEx>
        <w:trPr>
          <w:trHeight w:val="600" w:hRule="atLeast"/>
        </w:trPr>
        <w:tc>
          <w:tcPr>
            <w:tcW w:w="276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groupBasedBeamReportingR17</w:t>
            </w:r>
          </w:p>
        </w:tc>
        <w:tc>
          <w:tcPr>
            <w:tcW w:w="1180" w:type="dxa"/>
            <w:tcBorders>
              <w:top w:val="single" w:color="auto" w:sz="4" w:space="0"/>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new R17</w:t>
            </w:r>
          </w:p>
        </w:tc>
        <w:tc>
          <w:tcPr>
            <w:tcW w:w="447" w:type="dxa"/>
            <w:tcBorders>
              <w:top w:val="single" w:color="auto" w:sz="4" w:space="0"/>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 </w:t>
            </w:r>
          </w:p>
        </w:tc>
        <w:tc>
          <w:tcPr>
            <w:tcW w:w="2976" w:type="dxa"/>
            <w:tcBorders>
              <w:top w:val="single" w:color="auto" w:sz="4" w:space="0"/>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Group-based reporting for Rel.17 M-TRP</w:t>
            </w:r>
          </w:p>
        </w:tc>
        <w:tc>
          <w:tcPr>
            <w:tcW w:w="1984" w:type="dxa"/>
            <w:tcBorders>
              <w:top w:val="single" w:color="auto" w:sz="4" w:space="0"/>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{enabled, disabled}</w:t>
            </w:r>
          </w:p>
        </w:tc>
      </w:tr>
      <w:tr>
        <w:tblPrEx>
          <w:tblCellMar>
            <w:top w:w="0" w:type="dxa"/>
            <w:left w:w="108" w:type="dxa"/>
            <w:bottom w:w="0" w:type="dxa"/>
            <w:right w:w="108" w:type="dxa"/>
          </w:tblCellMar>
        </w:tblPrEx>
        <w:trPr>
          <w:trHeight w:val="600" w:hRule="atLeast"/>
        </w:trPr>
        <w:tc>
          <w:tcPr>
            <w:tcW w:w="2768" w:type="dxa"/>
            <w:tcBorders>
              <w:top w:val="nil"/>
              <w:left w:val="single" w:color="auto" w:sz="4" w:space="0"/>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nrofReportedGroupR17</w:t>
            </w:r>
          </w:p>
        </w:tc>
        <w:tc>
          <w:tcPr>
            <w:tcW w:w="1180"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new R17</w:t>
            </w:r>
          </w:p>
        </w:tc>
        <w:tc>
          <w:tcPr>
            <w:tcW w:w="447"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 </w:t>
            </w:r>
          </w:p>
        </w:tc>
        <w:tc>
          <w:tcPr>
            <w:tcW w:w="2976"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Number of reported beam group per CSI-report</w:t>
            </w:r>
          </w:p>
        </w:tc>
        <w:tc>
          <w:tcPr>
            <w:tcW w:w="1984"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{1,2,3,4}</w:t>
            </w:r>
          </w:p>
        </w:tc>
      </w:tr>
      <w:tr>
        <w:tblPrEx>
          <w:tblCellMar>
            <w:top w:w="0" w:type="dxa"/>
            <w:left w:w="108" w:type="dxa"/>
            <w:bottom w:w="0" w:type="dxa"/>
            <w:right w:w="108" w:type="dxa"/>
          </w:tblCellMar>
        </w:tblPrEx>
        <w:trPr>
          <w:trHeight w:val="600" w:hRule="atLeast"/>
        </w:trPr>
        <w:tc>
          <w:tcPr>
            <w:tcW w:w="2768" w:type="dxa"/>
            <w:tcBorders>
              <w:top w:val="nil"/>
              <w:left w:val="single" w:color="auto" w:sz="4" w:space="0"/>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resourcesForChannel2</w:t>
            </w:r>
          </w:p>
        </w:tc>
        <w:tc>
          <w:tcPr>
            <w:tcW w:w="1180"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new R17</w:t>
            </w:r>
          </w:p>
        </w:tc>
        <w:tc>
          <w:tcPr>
            <w:tcW w:w="447"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 </w:t>
            </w:r>
          </w:p>
        </w:tc>
        <w:tc>
          <w:tcPr>
            <w:tcW w:w="2976"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 xml:space="preserve">CMR resource set 2 associated to CSI-AssociatedReportConfigInfo </w:t>
            </w:r>
          </w:p>
        </w:tc>
        <w:tc>
          <w:tcPr>
            <w:tcW w:w="1984"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eastAsia="Times New Roman"/>
                <w:sz w:val="21"/>
              </w:rPr>
            </w:pPr>
            <w:r>
              <w:rPr>
                <w:rFonts w:eastAsia="Times New Roman"/>
                <w:sz w:val="21"/>
              </w:rPr>
              <w:t>Same as Rel.16 resourcesForChannel</w:t>
            </w:r>
          </w:p>
        </w:tc>
      </w:tr>
      <w:tr>
        <w:tblPrEx>
          <w:tblCellMar>
            <w:top w:w="0" w:type="dxa"/>
            <w:left w:w="108" w:type="dxa"/>
            <w:bottom w:w="0" w:type="dxa"/>
            <w:right w:w="108" w:type="dxa"/>
          </w:tblCellMar>
        </w:tblPrEx>
        <w:trPr>
          <w:trHeight w:val="600" w:hRule="atLeast"/>
        </w:trPr>
        <w:tc>
          <w:tcPr>
            <w:tcW w:w="276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rPr>
                <w:color w:val="FF0000"/>
                <w:sz w:val="21"/>
              </w:rPr>
            </w:pPr>
            <w:r>
              <w:rPr>
                <w:color w:val="FF0000"/>
                <w:sz w:val="21"/>
              </w:rPr>
              <w:t>maxNrofCSI-SSB-ResourceSetsPerConfig</w:t>
            </w:r>
          </w:p>
        </w:tc>
        <w:tc>
          <w:tcPr>
            <w:tcW w:w="1180" w:type="dxa"/>
            <w:tcBorders>
              <w:top w:val="single" w:color="auto" w:sz="4" w:space="0"/>
              <w:left w:val="nil"/>
              <w:bottom w:val="single" w:color="auto" w:sz="4" w:space="0"/>
              <w:right w:val="single" w:color="auto" w:sz="4" w:space="0"/>
            </w:tcBorders>
            <w:shd w:val="clear" w:color="auto" w:fill="auto"/>
            <w:vAlign w:val="center"/>
          </w:tcPr>
          <w:p>
            <w:pPr>
              <w:spacing w:before="120"/>
              <w:rPr>
                <w:color w:val="FF0000"/>
                <w:sz w:val="21"/>
              </w:rPr>
            </w:pPr>
            <w:r>
              <w:rPr>
                <w:color w:val="FF0000"/>
                <w:sz w:val="21"/>
              </w:rPr>
              <w:t>existing</w:t>
            </w:r>
          </w:p>
        </w:tc>
        <w:tc>
          <w:tcPr>
            <w:tcW w:w="447" w:type="dxa"/>
            <w:tcBorders>
              <w:top w:val="single" w:color="auto" w:sz="4" w:space="0"/>
              <w:left w:val="nil"/>
              <w:bottom w:val="single" w:color="auto" w:sz="4" w:space="0"/>
              <w:right w:val="single" w:color="auto" w:sz="4" w:space="0"/>
            </w:tcBorders>
            <w:shd w:val="clear" w:color="auto" w:fill="auto"/>
            <w:vAlign w:val="center"/>
          </w:tcPr>
          <w:p>
            <w:pPr>
              <w:spacing w:before="120"/>
              <w:rPr>
                <w:color w:val="FF0000"/>
                <w:sz w:val="21"/>
              </w:rPr>
            </w:pPr>
            <w:r>
              <w:rPr>
                <w:color w:val="FF0000"/>
                <w:sz w:val="21"/>
              </w:rPr>
              <w:t> </w:t>
            </w:r>
          </w:p>
        </w:tc>
        <w:tc>
          <w:tcPr>
            <w:tcW w:w="2976" w:type="dxa"/>
            <w:tcBorders>
              <w:top w:val="single" w:color="auto" w:sz="4" w:space="0"/>
              <w:left w:val="nil"/>
              <w:bottom w:val="single" w:color="auto" w:sz="4" w:space="0"/>
              <w:right w:val="single" w:color="auto" w:sz="4" w:space="0"/>
            </w:tcBorders>
            <w:shd w:val="clear" w:color="auto" w:fill="auto"/>
            <w:vAlign w:val="center"/>
          </w:tcPr>
          <w:p>
            <w:pPr>
              <w:spacing w:before="120"/>
              <w:rPr>
                <w:color w:val="FF0000"/>
                <w:sz w:val="21"/>
              </w:rPr>
            </w:pPr>
            <w:r>
              <w:rPr>
                <w:color w:val="FF0000"/>
                <w:sz w:val="21"/>
              </w:rPr>
              <w:t>Maximum number of CSI-SSB-Resouce set per CSI-ResourceConfig</w:t>
            </w:r>
          </w:p>
        </w:tc>
        <w:tc>
          <w:tcPr>
            <w:tcW w:w="1984" w:type="dxa"/>
            <w:tcBorders>
              <w:top w:val="single" w:color="auto" w:sz="4" w:space="0"/>
              <w:left w:val="nil"/>
              <w:bottom w:val="single" w:color="auto" w:sz="4" w:space="0"/>
              <w:right w:val="single" w:color="auto" w:sz="4" w:space="0"/>
            </w:tcBorders>
            <w:shd w:val="clear" w:color="auto" w:fill="auto"/>
            <w:vAlign w:val="center"/>
          </w:tcPr>
          <w:p>
            <w:pPr>
              <w:spacing w:before="120"/>
              <w:rPr>
                <w:rFonts w:eastAsia="Times New Roman"/>
                <w:color w:val="FF0000"/>
                <w:sz w:val="21"/>
              </w:rPr>
            </w:pPr>
            <w:r>
              <w:rPr>
                <w:color w:val="FF0000"/>
                <w:sz w:val="21"/>
              </w:rPr>
              <w:t>{1} is replaced by {2}</w:t>
            </w:r>
          </w:p>
        </w:tc>
      </w:tr>
    </w:tbl>
    <w:p>
      <w:pPr>
        <w:numPr>
          <w:ilvl w:val="1"/>
          <w:numId w:val="6"/>
        </w:numPr>
        <w:snapToGrid w:val="0"/>
        <w:spacing w:before="120" w:afterLines="50"/>
        <w:outlineLvl w:val="1"/>
        <w:rPr>
          <w:b/>
          <w:sz w:val="28"/>
        </w:rPr>
      </w:pPr>
      <w:r>
        <w:rPr>
          <w:b/>
          <w:sz w:val="28"/>
          <w:lang w:val="en-GB"/>
        </w:rPr>
        <w:t>mTRP-BFR</w:t>
      </w:r>
    </w:p>
    <w:p>
      <w:pPr>
        <w:overflowPunct w:val="0"/>
        <w:autoSpaceDE w:val="0"/>
        <w:autoSpaceDN w:val="0"/>
        <w:adjustRightInd w:val="0"/>
        <w:spacing w:before="120"/>
        <w:textAlignment w:val="baseline"/>
        <w:rPr>
          <w:rFonts w:eastAsia="微软雅黑"/>
          <w:lang w:val="en-GB"/>
        </w:rPr>
      </w:pPr>
      <w:r>
        <w:rPr>
          <w:rFonts w:eastAsia="微软雅黑"/>
          <w:lang w:val="en-GB"/>
        </w:rPr>
        <w:t>In this subsection, we discuss the RRC parameters for mTRP-BFR</w:t>
      </w:r>
    </w:p>
    <w:p>
      <w:pPr>
        <w:pStyle w:val="113"/>
        <w:numPr>
          <w:ilvl w:val="0"/>
          <w:numId w:val="25"/>
        </w:numPr>
        <w:overflowPunct w:val="0"/>
        <w:autoSpaceDE w:val="0"/>
        <w:autoSpaceDN w:val="0"/>
        <w:adjustRightInd w:val="0"/>
        <w:spacing w:before="120"/>
        <w:ind w:firstLineChars="0"/>
        <w:textAlignment w:val="baseline"/>
        <w:rPr>
          <w:rFonts w:eastAsia="微软雅黑"/>
          <w:lang w:val="en-GB"/>
        </w:rPr>
      </w:pPr>
      <w:r>
        <w:rPr>
          <w:rFonts w:eastAsia="微软雅黑"/>
          <w:lang w:val="en-GB"/>
        </w:rPr>
        <w:t xml:space="preserve">From implementation perspective, we do not identify motivation of respective </w:t>
      </w:r>
      <w:r>
        <w:rPr>
          <w:rFonts w:eastAsia="微软雅黑"/>
          <w:i/>
          <w:iCs/>
          <w:lang w:val="en-GB"/>
        </w:rPr>
        <w:t>rsrp-ThresholdSSBBFR1</w:t>
      </w:r>
      <w:r>
        <w:rPr>
          <w:rFonts w:eastAsia="微软雅黑"/>
          <w:lang w:val="en-GB"/>
        </w:rPr>
        <w:t xml:space="preserve"> and </w:t>
      </w:r>
      <w:r>
        <w:rPr>
          <w:rFonts w:eastAsia="微软雅黑"/>
          <w:i/>
          <w:iCs/>
          <w:lang w:val="en-GB"/>
        </w:rPr>
        <w:t>rsrp-ThresholdSSBBFR2</w:t>
      </w:r>
      <w:r>
        <w:rPr>
          <w:rFonts w:eastAsia="微软雅黑"/>
          <w:lang w:val="en-GB"/>
        </w:rPr>
        <w:t xml:space="preserve"> for different TRPs. If no clear benefits, we prefer to remove these two new RRC parameters and reuse the legacy threshold for this mTRP-BFR procedure.</w:t>
      </w:r>
    </w:p>
    <w:p>
      <w:pPr>
        <w:pStyle w:val="113"/>
        <w:numPr>
          <w:ilvl w:val="0"/>
          <w:numId w:val="25"/>
        </w:numPr>
        <w:overflowPunct w:val="0"/>
        <w:autoSpaceDE w:val="0"/>
        <w:autoSpaceDN w:val="0"/>
        <w:adjustRightInd w:val="0"/>
        <w:spacing w:before="120"/>
        <w:ind w:firstLineChars="0"/>
        <w:textAlignment w:val="baseline"/>
        <w:rPr>
          <w:rFonts w:eastAsia="微软雅黑"/>
          <w:lang w:val="en-GB"/>
        </w:rPr>
      </w:pPr>
      <w:r>
        <w:rPr>
          <w:rFonts w:eastAsia="微软雅黑"/>
          <w:lang w:val="en-GB"/>
        </w:rPr>
        <w:t xml:space="preserve">Regarding </w:t>
      </w:r>
      <w:r>
        <w:rPr>
          <w:rFonts w:eastAsia="微软雅黑"/>
          <w:i/>
          <w:iCs/>
          <w:lang w:val="en-GB"/>
        </w:rPr>
        <w:t>candidateBeamResourceList1</w:t>
      </w:r>
      <w:r>
        <w:rPr>
          <w:rFonts w:eastAsia="微软雅黑"/>
          <w:lang w:val="en-GB"/>
        </w:rPr>
        <w:t xml:space="preserve"> and </w:t>
      </w:r>
      <w:r>
        <w:rPr>
          <w:rFonts w:eastAsia="微软雅黑"/>
          <w:i/>
          <w:iCs/>
          <w:lang w:val="en-GB"/>
        </w:rPr>
        <w:t>candidateBeamResourceList2</w:t>
      </w:r>
      <w:r>
        <w:rPr>
          <w:rFonts w:eastAsia="微软雅黑"/>
          <w:lang w:val="en-GB"/>
        </w:rPr>
        <w:t>, we tend to agree that these two parameters should be mandatorily configured for mTRP-BFR, regardless of sDCI-mTRP or mDCI-mTRP.</w:t>
      </w:r>
    </w:p>
    <w:p>
      <w:pPr>
        <w:numPr>
          <w:ilvl w:val="255"/>
          <w:numId w:val="0"/>
        </w:numPr>
        <w:spacing w:before="120" w:after="0"/>
        <w:rPr>
          <w:i/>
          <w:iCs/>
        </w:rPr>
      </w:pPr>
    </w:p>
    <w:p>
      <w:pPr>
        <w:numPr>
          <w:ilvl w:val="0"/>
          <w:numId w:val="6"/>
        </w:numPr>
        <w:tabs>
          <w:tab w:val="clear" w:pos="432"/>
        </w:tabs>
        <w:snapToGrid w:val="0"/>
        <w:spacing w:before="120" w:afterLines="50"/>
        <w:ind w:left="425" w:hanging="425"/>
        <w:outlineLvl w:val="0"/>
        <w:rPr>
          <w:b/>
          <w:sz w:val="28"/>
        </w:rPr>
      </w:pPr>
      <w:r>
        <w:rPr>
          <w:b/>
          <w:sz w:val="28"/>
        </w:rPr>
        <w:t>Conclusion</w:t>
      </w:r>
    </w:p>
    <w:p>
      <w:pPr>
        <w:snapToGrid w:val="0"/>
        <w:spacing w:before="120" w:afterLines="50"/>
        <w:rPr>
          <w:rFonts w:eastAsia="微软雅黑"/>
        </w:rPr>
      </w:pPr>
      <w:r>
        <w:rPr>
          <w:rFonts w:hint="eastAsia" w:eastAsia="微软雅黑"/>
        </w:rPr>
        <w:t xml:space="preserve">In this contribution, we provide </w:t>
      </w:r>
      <w:r>
        <w:rPr>
          <w:rFonts w:eastAsia="微软雅黑"/>
        </w:rPr>
        <w:t xml:space="preserve">the observations and proposals for </w:t>
      </w:r>
      <w:r>
        <w:rPr>
          <w:rFonts w:hint="eastAsia"/>
        </w:rPr>
        <w:t>enhancements</w:t>
      </w:r>
      <w:r>
        <w:rPr>
          <w:rFonts w:hint="eastAsia" w:eastAsia="微软雅黑"/>
        </w:rPr>
        <w:t xml:space="preserve"> on beam management for multi-TRP</w:t>
      </w:r>
      <w:r>
        <w:rPr>
          <w:rFonts w:eastAsia="微软雅黑"/>
        </w:rPr>
        <w:t>.</w:t>
      </w:r>
    </w:p>
    <w:p>
      <w:pPr>
        <w:spacing w:before="240" w:beforeLines="100" w:afterLines="50" w:line="240" w:lineRule="auto"/>
        <w:rPr>
          <w:i/>
        </w:rPr>
      </w:pPr>
      <w:r>
        <w:rPr>
          <w:b/>
          <w:i/>
        </w:rPr>
        <w:t xml:space="preserve">Observation </w:t>
      </w:r>
      <w:r>
        <w:rPr>
          <w:rFonts w:hint="eastAsia"/>
          <w:b/>
          <w:i/>
        </w:rPr>
        <w:t>1</w:t>
      </w:r>
      <w:r>
        <w:rPr>
          <w:b/>
          <w:i/>
        </w:rPr>
        <w:t xml:space="preserve">: </w:t>
      </w:r>
      <w:r>
        <w:rPr>
          <w:i/>
        </w:rPr>
        <w:t>From the evaluation results in the multi-TRP case, it can be observed that:</w:t>
      </w:r>
    </w:p>
    <w:p>
      <w:pPr>
        <w:numPr>
          <w:ilvl w:val="0"/>
          <w:numId w:val="11"/>
        </w:numPr>
        <w:spacing w:before="120" w:after="0"/>
        <w:rPr>
          <w:i/>
          <w:iCs/>
        </w:rPr>
      </w:pPr>
      <w:r>
        <w:rPr>
          <w:rFonts w:hint="eastAsia"/>
          <w:i/>
          <w:iCs/>
        </w:rPr>
        <w:t>Under the case without IMR, L1-SINR reporting can obtain limited performance gains over L1-RSRP.</w:t>
      </w:r>
    </w:p>
    <w:p>
      <w:pPr>
        <w:numPr>
          <w:ilvl w:val="0"/>
          <w:numId w:val="11"/>
        </w:numPr>
        <w:spacing w:before="120" w:after="0"/>
        <w:rPr>
          <w:rFonts w:eastAsia="微软雅黑"/>
        </w:rPr>
      </w:pPr>
      <w:r>
        <w:rPr>
          <w:rFonts w:hint="eastAsia"/>
          <w:i/>
          <w:iCs/>
        </w:rPr>
        <w:t>L1-SINR reporting with</w:t>
      </w:r>
      <w:r>
        <w:rPr>
          <w:i/>
          <w:iCs/>
        </w:rPr>
        <w:t xml:space="preserve"> the assistance of</w:t>
      </w:r>
      <w:r>
        <w:rPr>
          <w:rFonts w:hint="eastAsia"/>
          <w:i/>
          <w:iCs/>
        </w:rPr>
        <w:t xml:space="preserve"> IMR</w:t>
      </w:r>
      <w:r>
        <w:rPr>
          <w:i/>
          <w:iCs/>
        </w:rPr>
        <w:t>, i.e., CMR+IMR,</w:t>
      </w:r>
      <w:r>
        <w:rPr>
          <w:rFonts w:hint="eastAsia"/>
          <w:i/>
          <w:iCs/>
        </w:rPr>
        <w:t xml:space="preserve"> significantly outperforms L1-RSRP and L1-SINR without IMR, through </w:t>
      </w:r>
      <w:r>
        <w:rPr>
          <w:i/>
          <w:iCs/>
        </w:rPr>
        <w:t>emulating</w:t>
      </w:r>
      <w:r>
        <w:rPr>
          <w:rFonts w:hint="eastAsia"/>
          <w:i/>
          <w:iCs/>
        </w:rPr>
        <w:t xml:space="preserve"> the interference of other beams with IMR.</w:t>
      </w:r>
    </w:p>
    <w:p>
      <w:pPr>
        <w:overflowPunct w:val="0"/>
        <w:autoSpaceDE w:val="0"/>
        <w:autoSpaceDN w:val="0"/>
        <w:adjustRightInd w:val="0"/>
        <w:spacing w:before="120"/>
        <w:textAlignment w:val="baseline"/>
        <w:rPr>
          <w:i/>
          <w:iCs/>
        </w:rPr>
      </w:pPr>
      <w:r>
        <w:rPr>
          <w:b/>
          <w:i/>
        </w:rPr>
        <w:t>Proposal 1:</w:t>
      </w:r>
      <w:r>
        <w:rPr>
          <w:i/>
        </w:rPr>
        <w:t xml:space="preserve"> </w:t>
      </w:r>
      <w:r>
        <w:rPr>
          <w:rFonts w:hint="eastAsia"/>
          <w:i/>
          <w:iCs/>
        </w:rPr>
        <w:t>For facilitating inter-beam interference measurement, L1-SINR reporting should be supported.</w:t>
      </w:r>
    </w:p>
    <w:p>
      <w:pPr>
        <w:numPr>
          <w:ilvl w:val="0"/>
          <w:numId w:val="11"/>
        </w:numPr>
        <w:spacing w:before="120" w:after="0"/>
        <w:rPr>
          <w:i/>
          <w:iCs/>
        </w:rPr>
      </w:pPr>
      <w:r>
        <w:rPr>
          <w:rFonts w:hint="eastAsia"/>
          <w:i/>
          <w:iCs/>
        </w:rPr>
        <w:t xml:space="preserve"> The definition of L1-SINR should be enhanced, considering interference among CMR(s) to be reported.</w:t>
      </w:r>
    </w:p>
    <w:p>
      <w:pPr>
        <w:numPr>
          <w:ilvl w:val="0"/>
          <w:numId w:val="11"/>
        </w:numPr>
        <w:spacing w:before="120" w:after="0"/>
        <w:rPr>
          <w:i/>
          <w:iCs/>
        </w:rPr>
      </w:pPr>
      <w:r>
        <w:rPr>
          <w:rFonts w:hint="eastAsia"/>
          <w:i/>
          <w:iCs/>
        </w:rPr>
        <w:t>The association among CMRs from different TRPs (or called as candidate CMR pairs) should be supported.</w:t>
      </w:r>
    </w:p>
    <w:p>
      <w:pPr>
        <w:numPr>
          <w:ilvl w:val="1"/>
          <w:numId w:val="12"/>
        </w:numPr>
        <w:spacing w:before="60" w:beforeLines="25" w:afterLines="50"/>
        <w:ind w:left="851"/>
        <w:rPr>
          <w:i/>
        </w:rPr>
      </w:pPr>
      <w:r>
        <w:rPr>
          <w:rFonts w:hint="eastAsia"/>
          <w:i/>
        </w:rPr>
        <w:t>Analogous to Rel-16, CMR+ZP-IMR and CMR+NZP-IMR can be supported besides CMR only.</w:t>
      </w:r>
    </w:p>
    <w:p>
      <w:pPr>
        <w:numPr>
          <w:ilvl w:val="255"/>
          <w:numId w:val="0"/>
        </w:numPr>
        <w:overflowPunct w:val="0"/>
        <w:autoSpaceDE w:val="0"/>
        <w:autoSpaceDN w:val="0"/>
        <w:adjustRightInd w:val="0"/>
        <w:spacing w:before="120"/>
        <w:textAlignment w:val="baseline"/>
        <w:rPr>
          <w:i/>
          <w:iCs/>
        </w:rPr>
      </w:pPr>
      <w:r>
        <w:rPr>
          <w:b/>
          <w:i/>
        </w:rPr>
        <w:t xml:space="preserve">Proposal </w:t>
      </w:r>
      <w:r>
        <w:rPr>
          <w:rFonts w:hint="eastAsia"/>
          <w:b/>
          <w:i/>
        </w:rPr>
        <w:t>2</w:t>
      </w:r>
      <w:r>
        <w:rPr>
          <w:b/>
          <w:i/>
        </w:rPr>
        <w:t xml:space="preserve">: </w:t>
      </w:r>
      <w:r>
        <w:rPr>
          <w:rFonts w:hint="eastAsia"/>
          <w:i/>
        </w:rPr>
        <w:t xml:space="preserve"> </w:t>
      </w:r>
      <w:r>
        <w:rPr>
          <w:i/>
          <w:iCs/>
        </w:rPr>
        <w:t xml:space="preserve">Along with </w:t>
      </w:r>
      <w:r>
        <w:rPr>
          <w:i/>
        </w:rPr>
        <w:t>CRI</w:t>
      </w:r>
      <w:r>
        <w:rPr>
          <w:i/>
          <w:iCs/>
        </w:rPr>
        <w:t>/SSBRI report, a</w:t>
      </w:r>
      <w:r>
        <w:rPr>
          <w:i/>
        </w:rPr>
        <w:t xml:space="preserve">dditional </w:t>
      </w:r>
      <w:r>
        <w:rPr>
          <w:i/>
          <w:iCs/>
        </w:rPr>
        <w:t xml:space="preserve">information for </w:t>
      </w:r>
      <w:r>
        <w:rPr>
          <w:rFonts w:hint="eastAsia"/>
          <w:i/>
          <w:iCs/>
        </w:rPr>
        <w:t>Option</w:t>
      </w:r>
      <w:r>
        <w:rPr>
          <w:i/>
          <w:iCs/>
        </w:rPr>
        <w:t xml:space="preserve"> </w:t>
      </w:r>
      <w:r>
        <w:rPr>
          <w:rFonts w:hint="eastAsia"/>
          <w:i/>
          <w:iCs/>
        </w:rPr>
        <w:t>2 (beam group based reporting)</w:t>
      </w:r>
      <w:r>
        <w:rPr>
          <w:i/>
          <w:iCs/>
        </w:rPr>
        <w:t xml:space="preserve"> </w:t>
      </w:r>
      <w:r>
        <w:rPr>
          <w:rFonts w:hint="eastAsia"/>
          <w:i/>
          <w:iCs/>
        </w:rPr>
        <w:t xml:space="preserve">should be </w:t>
      </w:r>
      <w:r>
        <w:rPr>
          <w:i/>
          <w:iCs/>
        </w:rPr>
        <w:t>considered for facilitating CSI measurement and subsequent DL/UL transmission.</w:t>
      </w:r>
    </w:p>
    <w:p>
      <w:pPr>
        <w:numPr>
          <w:ilvl w:val="0"/>
          <w:numId w:val="11"/>
        </w:numPr>
        <w:spacing w:before="120" w:after="0"/>
        <w:rPr>
          <w:i/>
          <w:iCs/>
        </w:rPr>
      </w:pPr>
      <w:r>
        <w:rPr>
          <w:i/>
          <w:iCs/>
        </w:rPr>
        <w:t>UE can further indicate whether two beams within a group/pair can be used for spatial multiplexing or diversity</w:t>
      </w:r>
    </w:p>
    <w:p>
      <w:pPr>
        <w:numPr>
          <w:ilvl w:val="1"/>
          <w:numId w:val="11"/>
        </w:numPr>
        <w:spacing w:before="120" w:after="0"/>
        <w:rPr>
          <w:i/>
          <w:iCs/>
        </w:rPr>
      </w:pPr>
      <w:r>
        <w:rPr>
          <w:i/>
          <w:iCs/>
        </w:rPr>
        <w:t>If being indicated for spatial diversity, the total number of transmission layers by using the two beams should be limited, e.g., up to additional UE capability reporting.</w:t>
      </w:r>
    </w:p>
    <w:p>
      <w:pPr>
        <w:numPr>
          <w:ilvl w:val="0"/>
          <w:numId w:val="11"/>
        </w:numPr>
        <w:spacing w:before="120" w:after="0"/>
        <w:rPr>
          <w:i/>
          <w:iCs/>
        </w:rPr>
      </w:pPr>
      <w:r>
        <w:rPr>
          <w:i/>
          <w:iCs/>
        </w:rPr>
        <w:t>UE can further indicate which RS can be used for UL transmission considering that only one UL panel can be active for UL transmission.</w:t>
      </w:r>
    </w:p>
    <w:p>
      <w:pPr>
        <w:numPr>
          <w:ilvl w:val="255"/>
          <w:numId w:val="0"/>
        </w:numPr>
        <w:spacing w:before="120" w:after="0"/>
        <w:rPr>
          <w:i/>
          <w:iCs/>
        </w:rPr>
      </w:pPr>
      <w:r>
        <w:rPr>
          <w:b/>
          <w:i/>
        </w:rPr>
        <w:t xml:space="preserve">Proposal </w:t>
      </w:r>
      <w:r>
        <w:rPr>
          <w:rFonts w:hint="eastAsia"/>
          <w:b/>
          <w:i/>
        </w:rPr>
        <w:t>3</w:t>
      </w:r>
      <w:r>
        <w:rPr>
          <w:b/>
          <w:i/>
        </w:rPr>
        <w:t>:</w:t>
      </w:r>
      <w:r>
        <w:rPr>
          <w:i/>
        </w:rPr>
        <w:t xml:space="preserve"> </w:t>
      </w:r>
      <w:r>
        <w:rPr>
          <w:rFonts w:hint="eastAsia"/>
          <w:i/>
        </w:rPr>
        <w:t>The RRC parameter configuration between 2 CMR resource</w:t>
      </w:r>
      <w:r>
        <w:rPr>
          <w:i/>
        </w:rPr>
        <w:t xml:space="preserve"> </w:t>
      </w:r>
      <w:r>
        <w:rPr>
          <w:rFonts w:hint="eastAsia"/>
          <w:i/>
        </w:rPr>
        <w:t>sets and the CPU calculation of CSI should be further considered.</w:t>
      </w:r>
    </w:p>
    <w:p>
      <w:pPr>
        <w:numPr>
          <w:ilvl w:val="0"/>
          <w:numId w:val="13"/>
        </w:numPr>
        <w:spacing w:before="120" w:after="0"/>
        <w:ind w:left="363" w:hanging="363"/>
        <w:rPr>
          <w:i/>
          <w:iCs/>
        </w:rPr>
      </w:pPr>
      <w:r>
        <w:rPr>
          <w:rFonts w:hint="eastAsia"/>
          <w:i/>
        </w:rPr>
        <w:t>repetition from different sets should be configured with same value</w:t>
      </w:r>
      <w:r>
        <w:rPr>
          <w:i/>
        </w:rPr>
        <w:t>.</w:t>
      </w:r>
    </w:p>
    <w:p>
      <w:pPr>
        <w:numPr>
          <w:ilvl w:val="0"/>
          <w:numId w:val="13"/>
        </w:numPr>
        <w:spacing w:before="120" w:after="0"/>
        <w:ind w:left="363" w:hanging="363"/>
        <w:rPr>
          <w:i/>
          <w:iCs/>
        </w:rPr>
      </w:pPr>
      <w:r>
        <w:rPr>
          <w:rFonts w:hint="eastAsia"/>
          <w:i/>
          <w:iCs/>
        </w:rPr>
        <w:t>aperiodicTriggeringOffset</w:t>
      </w:r>
      <w:r>
        <w:rPr>
          <w:rFonts w:hint="eastAsia"/>
          <w:i/>
        </w:rPr>
        <w:t xml:space="preserve"> from different sets </w:t>
      </w:r>
      <w:r>
        <w:rPr>
          <w:i/>
        </w:rPr>
        <w:t>can</w:t>
      </w:r>
      <w:r>
        <w:rPr>
          <w:rFonts w:hint="eastAsia"/>
          <w:i/>
        </w:rPr>
        <w:t xml:space="preserve"> be configured with different value(s)</w:t>
      </w:r>
      <w:r>
        <w:rPr>
          <w:i/>
        </w:rPr>
        <w:t>.</w:t>
      </w:r>
    </w:p>
    <w:p>
      <w:pPr>
        <w:spacing w:before="120" w:line="271" w:lineRule="auto"/>
        <w:ind w:right="11"/>
        <w:rPr>
          <w:i/>
        </w:rPr>
      </w:pPr>
      <w:r>
        <w:rPr>
          <w:b/>
          <w:i/>
        </w:rPr>
        <w:t>Proposal</w:t>
      </w:r>
      <w:r>
        <w:rPr>
          <w:rFonts w:hint="eastAsia"/>
          <w:b/>
          <w:i/>
        </w:rPr>
        <w:t xml:space="preserve"> 4:</w:t>
      </w:r>
      <w:r>
        <w:rPr>
          <w:b/>
          <w:i/>
        </w:rPr>
        <w:t xml:space="preserve"> </w:t>
      </w:r>
      <w:r>
        <w:rPr>
          <w:i/>
        </w:rPr>
        <w:t>Introduce a new MAC-CE</w:t>
      </w:r>
      <w:r>
        <w:rPr>
          <w:rFonts w:hint="eastAsia"/>
          <w:i/>
        </w:rPr>
        <w:t xml:space="preserve"> </w:t>
      </w:r>
      <w:r>
        <w:rPr>
          <w:i/>
        </w:rPr>
        <w:t xml:space="preserve">to activate </w:t>
      </w:r>
      <w:r>
        <w:rPr>
          <w:rFonts w:hint="eastAsia"/>
          <w:i/>
        </w:rPr>
        <w:t>BFD RS</w:t>
      </w:r>
      <w:r>
        <w:rPr>
          <w:i/>
        </w:rPr>
        <w:t>(s) dynamically at least for mDCI-mTRP, in order to guarantee the same timeline between PDCCH beam update and explicit BFD RS configuration</w:t>
      </w:r>
      <w:r>
        <w:rPr>
          <w:rFonts w:hint="eastAsia"/>
          <w:i/>
        </w:rPr>
        <w:t>.</w:t>
      </w:r>
    </w:p>
    <w:p>
      <w:pPr>
        <w:spacing w:before="120"/>
        <w:rPr>
          <w:i/>
        </w:rPr>
      </w:pPr>
      <w:r>
        <w:rPr>
          <w:rFonts w:hint="eastAsia"/>
          <w:i/>
        </w:rPr>
        <w:t xml:space="preserve">-    </w:t>
      </w:r>
      <w:r>
        <w:rPr>
          <w:i/>
        </w:rPr>
        <w:t>In the MAC-CE, two sets of BFD-RS(s) are explicit provided and associated with respective CORESETPoolIndex.</w:t>
      </w:r>
    </w:p>
    <w:p>
      <w:pPr>
        <w:spacing w:before="120" w:line="271" w:lineRule="auto"/>
        <w:ind w:right="11"/>
        <w:rPr>
          <w:i/>
        </w:rPr>
      </w:pPr>
      <w:r>
        <w:rPr>
          <w:b/>
          <w:i/>
        </w:rPr>
        <w:t xml:space="preserve">Proposal </w:t>
      </w:r>
      <w:r>
        <w:rPr>
          <w:rFonts w:hint="eastAsia"/>
          <w:b/>
          <w:i/>
        </w:rPr>
        <w:t>5</w:t>
      </w:r>
      <w:r>
        <w:rPr>
          <w:b/>
          <w:i/>
        </w:rPr>
        <w:t xml:space="preserve">: </w:t>
      </w:r>
      <w:r>
        <w:rPr>
          <w:rFonts w:hint="eastAsia"/>
          <w:i/>
        </w:rPr>
        <w:t xml:space="preserve"> When a CORESET is activated with two TCI states</w:t>
      </w:r>
      <w:r>
        <w:rPr>
          <w:i/>
        </w:rPr>
        <w:t xml:space="preserve">, </w:t>
      </w:r>
      <w:r>
        <w:rPr>
          <w:rFonts w:hint="eastAsia"/>
          <w:i/>
        </w:rPr>
        <w:t xml:space="preserve">each of </w:t>
      </w:r>
      <w:r>
        <w:rPr>
          <w:i/>
        </w:rPr>
        <w:t>two TCI states</w:t>
      </w:r>
      <w:r>
        <w:rPr>
          <w:rFonts w:hint="eastAsia"/>
          <w:i/>
        </w:rPr>
        <w:t xml:space="preserve"> corresponds to a </w:t>
      </w:r>
      <w:r>
        <w:rPr>
          <w:i/>
        </w:rPr>
        <w:t xml:space="preserve">respective </w:t>
      </w:r>
      <w:r>
        <w:rPr>
          <w:rFonts w:hint="eastAsia"/>
          <w:i/>
        </w:rPr>
        <w:t>BFD-RS set</w:t>
      </w:r>
      <w:r>
        <w:rPr>
          <w:i/>
        </w:rPr>
        <w:t xml:space="preserve"> by order.</w:t>
      </w:r>
      <w:r>
        <w:rPr>
          <w:rFonts w:hint="eastAsia"/>
          <w:i/>
        </w:rPr>
        <w:t xml:space="preserve"> </w:t>
      </w:r>
    </w:p>
    <w:p>
      <w:pPr>
        <w:numPr>
          <w:ilvl w:val="0"/>
          <w:numId w:val="18"/>
        </w:numPr>
        <w:snapToGrid w:val="0"/>
        <w:spacing w:before="120" w:afterLines="50" w:line="240" w:lineRule="auto"/>
        <w:ind w:left="363" w:hanging="363"/>
        <w:rPr>
          <w:bCs/>
          <w:i/>
        </w:rPr>
      </w:pPr>
      <w:r>
        <w:rPr>
          <w:rFonts w:hint="eastAsia"/>
          <w:i/>
          <w:iCs/>
        </w:rPr>
        <w:t xml:space="preserve">If one BFD-RS set is not </w:t>
      </w:r>
      <w:r>
        <w:rPr>
          <w:i/>
          <w:iCs/>
        </w:rPr>
        <w:t xml:space="preserve">explicitly </w:t>
      </w:r>
      <w:r>
        <w:rPr>
          <w:rFonts w:hint="eastAsia"/>
          <w:i/>
          <w:iCs/>
        </w:rPr>
        <w:t xml:space="preserve">configured, the BFD-RS set </w:t>
      </w:r>
      <w:r>
        <w:rPr>
          <w:i/>
          <w:iCs/>
        </w:rPr>
        <w:t>is determined according to corresponding</w:t>
      </w:r>
      <w:r>
        <w:rPr>
          <w:rFonts w:hint="eastAsia"/>
          <w:i/>
          <w:iCs/>
        </w:rPr>
        <w:t xml:space="preserve"> TCI state. </w:t>
      </w:r>
      <w:r>
        <w:rPr>
          <w:rFonts w:hint="eastAsia"/>
          <w:bCs/>
          <w:i/>
        </w:rPr>
        <w:t xml:space="preserve">  </w:t>
      </w:r>
    </w:p>
    <w:p>
      <w:pPr>
        <w:spacing w:before="120" w:line="271" w:lineRule="auto"/>
        <w:ind w:right="11"/>
        <w:rPr>
          <w:bCs/>
          <w:i/>
        </w:rPr>
      </w:pPr>
      <w:r>
        <w:rPr>
          <w:b/>
          <w:i/>
        </w:rPr>
        <w:t xml:space="preserve">Proposal </w:t>
      </w:r>
      <w:r>
        <w:rPr>
          <w:rFonts w:hint="eastAsia"/>
          <w:b/>
          <w:i/>
        </w:rPr>
        <w:t>6</w:t>
      </w:r>
      <w:r>
        <w:rPr>
          <w:b/>
          <w:i/>
        </w:rPr>
        <w:t>:</w:t>
      </w:r>
      <w:r>
        <w:rPr>
          <w:rFonts w:hint="eastAsia"/>
          <w:b/>
          <w:i/>
        </w:rPr>
        <w:t xml:space="preserve"> </w:t>
      </w:r>
      <w:r>
        <w:rPr>
          <w:bCs/>
          <w:i/>
        </w:rPr>
        <w:t>When up to two (or more) dedicated PUCCH-SR resources in a cell group are configured, association between one of PUCCH-SR resource(s) and CORESETPoolIndex should be supported for mDCI-mTRP.</w:t>
      </w:r>
    </w:p>
    <w:p>
      <w:pPr>
        <w:spacing w:before="120" w:line="271" w:lineRule="auto"/>
        <w:ind w:right="11"/>
        <w:rPr>
          <w:bCs/>
          <w:i/>
        </w:rPr>
      </w:pPr>
      <w:r>
        <w:rPr>
          <w:rFonts w:hint="eastAsia"/>
          <w:bCs/>
          <w:i/>
        </w:rPr>
        <w:t>-     In the case that one or more TRPs of S</w:t>
      </w:r>
      <w:r>
        <w:rPr>
          <w:bCs/>
          <w:i/>
        </w:rPr>
        <w:t>p</w:t>
      </w:r>
      <w:r>
        <w:rPr>
          <w:rFonts w:hint="eastAsia"/>
          <w:bCs/>
          <w:i/>
        </w:rPr>
        <w:t>Cell fails,</w:t>
      </w:r>
    </w:p>
    <w:p>
      <w:pPr>
        <w:numPr>
          <w:ilvl w:val="0"/>
          <w:numId w:val="21"/>
        </w:numPr>
        <w:spacing w:before="120" w:line="271" w:lineRule="auto"/>
        <w:ind w:right="11"/>
        <w:rPr>
          <w:bCs/>
          <w:i/>
        </w:rPr>
      </w:pPr>
      <w:r>
        <w:rPr>
          <w:rFonts w:hint="eastAsia"/>
          <w:bCs/>
          <w:i/>
        </w:rPr>
        <w:t>If one TRP of S</w:t>
      </w:r>
      <w:r>
        <w:rPr>
          <w:bCs/>
          <w:i/>
        </w:rPr>
        <w:t>p</w:t>
      </w:r>
      <w:r>
        <w:rPr>
          <w:rFonts w:hint="eastAsia"/>
          <w:bCs/>
          <w:i/>
        </w:rPr>
        <w:t>Cell fails, PUCCH-SR resource associated with same CORESETPoolIndex as non-failed BFD-RS set of SpCell (i.e., non-failed TRP) is transmitted.</w:t>
      </w:r>
    </w:p>
    <w:p>
      <w:pPr>
        <w:spacing w:before="120" w:line="271" w:lineRule="auto"/>
        <w:ind w:right="11"/>
        <w:rPr>
          <w:bCs/>
          <w:i/>
        </w:rPr>
      </w:pPr>
      <w:r>
        <w:rPr>
          <w:rFonts w:hint="eastAsia"/>
          <w:bCs/>
          <w:i/>
        </w:rPr>
        <w:t>-     In the case that no TRP of SpCell fails and one or more TRPs of Scell fail,</w:t>
      </w:r>
    </w:p>
    <w:p>
      <w:pPr>
        <w:numPr>
          <w:ilvl w:val="0"/>
          <w:numId w:val="22"/>
        </w:numPr>
        <w:spacing w:before="120" w:line="271" w:lineRule="auto"/>
        <w:ind w:right="11"/>
        <w:rPr>
          <w:bCs/>
          <w:i/>
        </w:rPr>
      </w:pPr>
      <w:r>
        <w:rPr>
          <w:bCs/>
          <w:i/>
        </w:rPr>
        <w:t xml:space="preserve">PUCCH-SR resource associated with same CORESETPoolIndex as failed BFD-RS set </w:t>
      </w:r>
      <w:r>
        <w:rPr>
          <w:rFonts w:hint="eastAsia"/>
          <w:bCs/>
          <w:i/>
        </w:rPr>
        <w:t xml:space="preserve">of Scell </w:t>
      </w:r>
      <w:r>
        <w:rPr>
          <w:bCs/>
          <w:i/>
        </w:rPr>
        <w:t>(i.e., failed TRP) is transmitted.</w:t>
      </w:r>
    </w:p>
    <w:p>
      <w:pPr>
        <w:numPr>
          <w:ilvl w:val="255"/>
          <w:numId w:val="0"/>
        </w:numPr>
        <w:spacing w:before="120" w:after="0"/>
        <w:rPr>
          <w:i/>
          <w:iCs/>
        </w:rPr>
      </w:pPr>
      <w:r>
        <w:rPr>
          <w:b/>
          <w:i/>
        </w:rPr>
        <w:t xml:space="preserve">Proposal </w:t>
      </w:r>
      <w:r>
        <w:rPr>
          <w:rFonts w:hint="eastAsia"/>
          <w:b/>
          <w:i/>
        </w:rPr>
        <w:t>7</w:t>
      </w:r>
      <w:r>
        <w:rPr>
          <w:b/>
          <w:i/>
        </w:rPr>
        <w:t xml:space="preserve">: </w:t>
      </w:r>
      <w:r>
        <w:rPr>
          <w:rFonts w:hint="eastAsia"/>
          <w:i/>
        </w:rPr>
        <w:t xml:space="preserve"> For a joint MAC-CE on msg3/msgA</w:t>
      </w:r>
      <w:r>
        <w:rPr>
          <w:i/>
        </w:rPr>
        <w:t>, two</w:t>
      </w:r>
      <w:r>
        <w:rPr>
          <w:rFonts w:hint="eastAsia"/>
          <w:i/>
        </w:rPr>
        <w:t xml:space="preserve"> bits corresponding</w:t>
      </w:r>
      <w:r>
        <w:rPr>
          <w:i/>
        </w:rPr>
        <w:t xml:space="preserve"> to</w:t>
      </w:r>
      <w:r>
        <w:rPr>
          <w:rFonts w:hint="eastAsia"/>
          <w:i/>
        </w:rPr>
        <w:t xml:space="preserve"> two TRPs of SpCell and up to one</w:t>
      </w:r>
      <w:r>
        <w:rPr>
          <w:i/>
          <w:iCs/>
        </w:rPr>
        <w:t xml:space="preserve"> </w:t>
      </w:r>
      <w:r>
        <w:rPr>
          <w:rFonts w:hint="eastAsia"/>
          <w:i/>
          <w:iCs/>
        </w:rPr>
        <w:t xml:space="preserve">octet including AC,BFD-RS index and new beam indication for one TRP of SpCell can be contained. </w:t>
      </w:r>
    </w:p>
    <w:p>
      <w:pPr>
        <w:numPr>
          <w:ilvl w:val="255"/>
          <w:numId w:val="0"/>
        </w:numPr>
        <w:spacing w:before="120" w:after="0"/>
      </w:pPr>
      <w:r>
        <w:rPr>
          <w:b/>
          <w:i/>
        </w:rPr>
        <w:t xml:space="preserve">Proposal </w:t>
      </w:r>
      <w:r>
        <w:rPr>
          <w:rFonts w:hint="eastAsia"/>
          <w:b/>
          <w:i/>
        </w:rPr>
        <w:t>8</w:t>
      </w:r>
      <w:r>
        <w:rPr>
          <w:b/>
          <w:i/>
        </w:rPr>
        <w:t xml:space="preserve">: </w:t>
      </w:r>
      <w:r>
        <w:rPr>
          <w:rFonts w:hint="eastAsia"/>
          <w:i/>
        </w:rPr>
        <w:t xml:space="preserve"> The associated relationship between two BFD-RS sets and two candidate RS sets should be established when they correspond to same set index.</w:t>
      </w:r>
    </w:p>
    <w:p>
      <w:pPr>
        <w:numPr>
          <w:ilvl w:val="255"/>
          <w:numId w:val="0"/>
        </w:numPr>
        <w:spacing w:before="120" w:line="271" w:lineRule="auto"/>
        <w:ind w:right="11"/>
        <w:rPr>
          <w:i/>
        </w:rPr>
      </w:pPr>
      <w:r>
        <w:rPr>
          <w:b/>
          <w:i/>
        </w:rPr>
        <w:t xml:space="preserve">Proposal </w:t>
      </w:r>
      <w:r>
        <w:rPr>
          <w:rFonts w:hint="eastAsia"/>
          <w:b/>
          <w:i/>
        </w:rPr>
        <w:t>9</w:t>
      </w:r>
      <w:r>
        <w:rPr>
          <w:b/>
          <w:i/>
        </w:rPr>
        <w:t>:</w:t>
      </w:r>
      <w:r>
        <w:rPr>
          <w:rFonts w:hint="eastAsia"/>
          <w:i/>
        </w:rPr>
        <w:t xml:space="preserve"> A CORESET is associated with a BFD-RS set when a CORESETPoolIndex configured with the CORESET and a BFD-RS set index of the BFD-RS set are same</w:t>
      </w:r>
      <w:r>
        <w:rPr>
          <w:i/>
        </w:rPr>
        <w:t>.</w:t>
      </w:r>
    </w:p>
    <w:p>
      <w:pPr>
        <w:numPr>
          <w:ilvl w:val="0"/>
          <w:numId w:val="11"/>
        </w:numPr>
        <w:snapToGrid w:val="0"/>
        <w:spacing w:before="120" w:afterLines="50"/>
        <w:ind w:left="363" w:hanging="363"/>
        <w:rPr>
          <w:i/>
          <w:iCs/>
        </w:rPr>
      </w:pPr>
      <w:r>
        <w:rPr>
          <w:i/>
          <w:iCs/>
        </w:rPr>
        <w:t xml:space="preserve"> RS in one BFD-RS set should be QCL-ed with DMRS of a CORESET in a CORESET pool associated with the BFD-RS set. </w:t>
      </w:r>
    </w:p>
    <w:p>
      <w:pPr>
        <w:spacing w:before="120" w:line="271" w:lineRule="auto"/>
        <w:ind w:right="11"/>
        <w:rPr>
          <w:i/>
        </w:rPr>
      </w:pPr>
      <w:r>
        <w:rPr>
          <w:b/>
          <w:i/>
        </w:rPr>
        <w:t xml:space="preserve">Proposal </w:t>
      </w:r>
      <w:r>
        <w:rPr>
          <w:rFonts w:hint="eastAsia"/>
          <w:b/>
          <w:i/>
        </w:rPr>
        <w:t>10</w:t>
      </w:r>
      <w:r>
        <w:rPr>
          <w:b/>
          <w:i/>
        </w:rPr>
        <w:t>:</w:t>
      </w:r>
      <w:r>
        <w:rPr>
          <w:rFonts w:hint="eastAsia"/>
          <w:i/>
        </w:rPr>
        <w:t xml:space="preserve"> Th</w:t>
      </w:r>
      <w:r>
        <w:rPr>
          <w:i/>
        </w:rPr>
        <w:t>e beam</w:t>
      </w:r>
      <w:r>
        <w:rPr>
          <w:rFonts w:hint="eastAsia"/>
          <w:i/>
        </w:rPr>
        <w:t xml:space="preserve"> and power control</w:t>
      </w:r>
      <w:r>
        <w:rPr>
          <w:i/>
        </w:rPr>
        <w:t xml:space="preserve"> for CORESET/PUCCH should be updated according to a reported candidate RS, only if the PUCCH is associated with the same CORESETPoolIndex</w:t>
      </w:r>
      <w:r>
        <w:rPr>
          <w:rFonts w:hint="eastAsia"/>
          <w:i/>
        </w:rPr>
        <w:t>/BFD-RS set index/Candidate RS set index</w:t>
      </w:r>
      <w:r>
        <w:rPr>
          <w:i/>
        </w:rPr>
        <w:t>.</w:t>
      </w:r>
    </w:p>
    <w:p>
      <w:pPr>
        <w:numPr>
          <w:ilvl w:val="0"/>
          <w:numId w:val="24"/>
        </w:numPr>
        <w:spacing w:before="120" w:after="0"/>
        <w:ind w:left="363" w:hanging="363"/>
        <w:rPr>
          <w:i/>
          <w:iCs/>
        </w:rPr>
      </w:pPr>
      <w:r>
        <w:rPr>
          <w:rFonts w:hint="eastAsia"/>
          <w:i/>
          <w:iCs/>
        </w:rPr>
        <w:t>CORESETPoolIndex</w:t>
      </w:r>
      <w:r>
        <w:rPr>
          <w:rFonts w:hint="eastAsia"/>
          <w:i/>
        </w:rPr>
        <w:t>/BFD-RS set index/Candidate RS set index</w:t>
      </w:r>
      <w:r>
        <w:rPr>
          <w:i/>
          <w:iCs/>
        </w:rPr>
        <w:t xml:space="preserve"> is introduced for PUCCH configuration, in order to initialize TRP-specific PUCCH’s beam update</w:t>
      </w:r>
    </w:p>
    <w:p>
      <w:pPr>
        <w:numPr>
          <w:ilvl w:val="0"/>
          <w:numId w:val="24"/>
        </w:numPr>
        <w:spacing w:before="120" w:after="0"/>
        <w:ind w:left="363" w:hanging="363"/>
        <w:rPr>
          <w:i/>
          <w:iCs/>
        </w:rPr>
      </w:pPr>
      <w:r>
        <w:rPr>
          <w:i/>
          <w:iCs/>
        </w:rPr>
        <w:t>Deactivating CORESET(s) associated with the same CORESETPoolIndex, if no candidate RS can be identified.</w:t>
      </w:r>
    </w:p>
    <w:p>
      <w:pPr>
        <w:numPr>
          <w:ilvl w:val="0"/>
          <w:numId w:val="24"/>
        </w:numPr>
        <w:spacing w:before="120" w:after="0"/>
        <w:ind w:left="363" w:hanging="363"/>
        <w:rPr>
          <w:i/>
          <w:iCs/>
        </w:rPr>
      </w:pPr>
      <w:r>
        <w:rPr>
          <w:i/>
          <w:iCs/>
        </w:rPr>
        <w:t xml:space="preserve">28 symbols </w:t>
      </w:r>
      <w:r>
        <w:rPr>
          <w:rFonts w:hint="eastAsia"/>
          <w:i/>
          <w:iCs/>
        </w:rPr>
        <w:t xml:space="preserve">are determined through the smallest SCS according to all cells </w:t>
      </w:r>
      <w:r>
        <w:rPr>
          <w:i/>
          <w:iCs/>
        </w:rPr>
        <w:t xml:space="preserve">containing </w:t>
      </w:r>
      <w:r>
        <w:rPr>
          <w:rFonts w:hint="eastAsia"/>
          <w:i/>
          <w:iCs/>
        </w:rPr>
        <w:t>failed TRP</w:t>
      </w:r>
      <w:r>
        <w:rPr>
          <w:i/>
          <w:iCs/>
        </w:rPr>
        <w:t>(s)</w:t>
      </w:r>
      <w:r>
        <w:rPr>
          <w:rFonts w:hint="eastAsia"/>
          <w:i/>
          <w:iCs/>
        </w:rPr>
        <w:t xml:space="preserve"> and the cell receiving the gNB response/PDCCH from the failed TRP.</w:t>
      </w:r>
    </w:p>
    <w:p>
      <w:pPr>
        <w:numPr>
          <w:ilvl w:val="255"/>
          <w:numId w:val="0"/>
        </w:numPr>
        <w:spacing w:before="120" w:after="0"/>
        <w:ind w:right="11"/>
      </w:pPr>
      <w:r>
        <w:rPr>
          <w:b/>
          <w:i/>
        </w:rPr>
        <w:t xml:space="preserve">Proposal </w:t>
      </w:r>
      <w:r>
        <w:rPr>
          <w:rFonts w:hint="eastAsia"/>
          <w:b/>
          <w:i/>
        </w:rPr>
        <w:t>11</w:t>
      </w:r>
      <w:r>
        <w:rPr>
          <w:b/>
          <w:i/>
        </w:rPr>
        <w:t>:</w:t>
      </w:r>
      <w:r>
        <w:rPr>
          <w:rFonts w:hint="eastAsia"/>
          <w:i/>
        </w:rPr>
        <w:t xml:space="preserve"> When a CORESET is activated with two TCI states each of which should corresponds to a </w:t>
      </w:r>
      <w:r>
        <w:rPr>
          <w:i/>
        </w:rPr>
        <w:t>respective</w:t>
      </w:r>
      <w:r>
        <w:rPr>
          <w:rFonts w:hint="eastAsia"/>
          <w:i/>
        </w:rPr>
        <w:t xml:space="preserve"> BFD-RS set, each of the two </w:t>
      </w:r>
      <w:r>
        <w:rPr>
          <w:i/>
        </w:rPr>
        <w:t>individual QCL assumptions of the CORESET</w:t>
      </w:r>
      <w:r>
        <w:rPr>
          <w:rFonts w:hint="eastAsia"/>
          <w:i/>
        </w:rPr>
        <w:t xml:space="preserve"> should be respectively updated </w:t>
      </w:r>
      <w:r>
        <w:rPr>
          <w:i/>
        </w:rPr>
        <w:t>according to</w:t>
      </w:r>
      <w:r>
        <w:rPr>
          <w:rFonts w:hint="eastAsia"/>
          <w:i/>
        </w:rPr>
        <w:t xml:space="preserve"> a new reported candidate RS of a failed TRP</w:t>
      </w:r>
      <w:r>
        <w:rPr>
          <w:i/>
        </w:rPr>
        <w:t>.</w:t>
      </w:r>
    </w:p>
    <w:p>
      <w:pPr>
        <w:numPr>
          <w:ilvl w:val="255"/>
          <w:numId w:val="0"/>
        </w:numPr>
        <w:spacing w:before="120" w:after="0"/>
      </w:pPr>
      <w:r>
        <w:rPr>
          <w:b/>
          <w:i/>
        </w:rPr>
        <w:t xml:space="preserve">Proposal </w:t>
      </w:r>
      <w:r>
        <w:rPr>
          <w:rFonts w:hint="eastAsia"/>
          <w:b/>
          <w:i/>
        </w:rPr>
        <w:t>12</w:t>
      </w:r>
      <w:r>
        <w:rPr>
          <w:b/>
          <w:i/>
        </w:rPr>
        <w:t>:</w:t>
      </w:r>
      <w:r>
        <w:rPr>
          <w:rFonts w:hint="eastAsia"/>
          <w:i/>
        </w:rPr>
        <w:t xml:space="preserve"> The </w:t>
      </w:r>
      <w:r>
        <w:rPr>
          <w:i/>
        </w:rPr>
        <w:t>QCL assumption</w:t>
      </w:r>
      <w:r>
        <w:rPr>
          <w:rFonts w:hint="eastAsia"/>
          <w:i/>
        </w:rPr>
        <w:t xml:space="preserve"> of all CORESETs associated with a same CORESETPoolIndex in a CC list </w:t>
      </w:r>
      <w:r>
        <w:rPr>
          <w:i/>
        </w:rPr>
        <w:t>should</w:t>
      </w:r>
      <w:r>
        <w:rPr>
          <w:rFonts w:hint="eastAsia"/>
          <w:i/>
        </w:rPr>
        <w:t xml:space="preserve"> be updated by a new reported candidate RS associated with the same CORESETPoolIndex simultaneously. </w:t>
      </w:r>
    </w:p>
    <w:p>
      <w:pPr>
        <w:spacing w:before="120"/>
        <w:rPr>
          <w:i/>
        </w:rPr>
      </w:pPr>
      <w:r>
        <w:rPr>
          <w:b/>
          <w:i/>
        </w:rPr>
        <w:t xml:space="preserve">Proposal </w:t>
      </w:r>
      <w:r>
        <w:rPr>
          <w:rFonts w:hint="eastAsia"/>
          <w:b/>
          <w:i/>
        </w:rPr>
        <w:t xml:space="preserve">13: </w:t>
      </w:r>
      <w:r>
        <w:rPr>
          <w:i/>
        </w:rPr>
        <w:t>For RRC configuration for group based reporting, the following modification is proposed in red.</w:t>
      </w:r>
    </w:p>
    <w:tbl>
      <w:tblPr>
        <w:tblStyle w:val="23"/>
        <w:tblW w:w="9355" w:type="dxa"/>
        <w:tblInd w:w="-5" w:type="dxa"/>
        <w:tblLayout w:type="autofit"/>
        <w:tblCellMar>
          <w:top w:w="0" w:type="dxa"/>
          <w:left w:w="108" w:type="dxa"/>
          <w:bottom w:w="0" w:type="dxa"/>
          <w:right w:w="108" w:type="dxa"/>
        </w:tblCellMar>
      </w:tblPr>
      <w:tblGrid>
        <w:gridCol w:w="2768"/>
        <w:gridCol w:w="1180"/>
        <w:gridCol w:w="447"/>
        <w:gridCol w:w="2976"/>
        <w:gridCol w:w="1984"/>
      </w:tblGrid>
      <w:tr>
        <w:tblPrEx>
          <w:tblCellMar>
            <w:top w:w="0" w:type="dxa"/>
            <w:left w:w="108" w:type="dxa"/>
            <w:bottom w:w="0" w:type="dxa"/>
            <w:right w:w="108" w:type="dxa"/>
          </w:tblCellMar>
        </w:tblPrEx>
        <w:trPr>
          <w:trHeight w:val="600" w:hRule="atLeast"/>
        </w:trPr>
        <w:tc>
          <w:tcPr>
            <w:tcW w:w="276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groupBasedBeamReportingR17</w:t>
            </w:r>
          </w:p>
        </w:tc>
        <w:tc>
          <w:tcPr>
            <w:tcW w:w="1180" w:type="dxa"/>
            <w:tcBorders>
              <w:top w:val="single" w:color="auto" w:sz="4" w:space="0"/>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new R17</w:t>
            </w:r>
          </w:p>
        </w:tc>
        <w:tc>
          <w:tcPr>
            <w:tcW w:w="447" w:type="dxa"/>
            <w:tcBorders>
              <w:top w:val="single" w:color="auto" w:sz="4" w:space="0"/>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 </w:t>
            </w:r>
          </w:p>
        </w:tc>
        <w:tc>
          <w:tcPr>
            <w:tcW w:w="2976" w:type="dxa"/>
            <w:tcBorders>
              <w:top w:val="single" w:color="auto" w:sz="4" w:space="0"/>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Group-based reporting for Rel.17 M-TRP</w:t>
            </w:r>
          </w:p>
        </w:tc>
        <w:tc>
          <w:tcPr>
            <w:tcW w:w="1984" w:type="dxa"/>
            <w:tcBorders>
              <w:top w:val="single" w:color="auto" w:sz="4" w:space="0"/>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{enabled, disabled}</w:t>
            </w:r>
          </w:p>
        </w:tc>
      </w:tr>
      <w:tr>
        <w:tblPrEx>
          <w:tblCellMar>
            <w:top w:w="0" w:type="dxa"/>
            <w:left w:w="108" w:type="dxa"/>
            <w:bottom w:w="0" w:type="dxa"/>
            <w:right w:w="108" w:type="dxa"/>
          </w:tblCellMar>
        </w:tblPrEx>
        <w:trPr>
          <w:trHeight w:val="600" w:hRule="atLeast"/>
        </w:trPr>
        <w:tc>
          <w:tcPr>
            <w:tcW w:w="2768" w:type="dxa"/>
            <w:tcBorders>
              <w:top w:val="nil"/>
              <w:left w:val="single" w:color="auto" w:sz="4" w:space="0"/>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nrofReportedGroupR17</w:t>
            </w:r>
          </w:p>
        </w:tc>
        <w:tc>
          <w:tcPr>
            <w:tcW w:w="1180"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new R17</w:t>
            </w:r>
          </w:p>
        </w:tc>
        <w:tc>
          <w:tcPr>
            <w:tcW w:w="447"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 </w:t>
            </w:r>
          </w:p>
        </w:tc>
        <w:tc>
          <w:tcPr>
            <w:tcW w:w="2976"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Number of reported beam group per CSI-report</w:t>
            </w:r>
          </w:p>
        </w:tc>
        <w:tc>
          <w:tcPr>
            <w:tcW w:w="1984"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{1,2,3,4}</w:t>
            </w:r>
          </w:p>
        </w:tc>
      </w:tr>
      <w:tr>
        <w:tblPrEx>
          <w:tblCellMar>
            <w:top w:w="0" w:type="dxa"/>
            <w:left w:w="108" w:type="dxa"/>
            <w:bottom w:w="0" w:type="dxa"/>
            <w:right w:w="108" w:type="dxa"/>
          </w:tblCellMar>
        </w:tblPrEx>
        <w:trPr>
          <w:trHeight w:val="600" w:hRule="atLeast"/>
        </w:trPr>
        <w:tc>
          <w:tcPr>
            <w:tcW w:w="2768" w:type="dxa"/>
            <w:tcBorders>
              <w:top w:val="nil"/>
              <w:left w:val="single" w:color="auto" w:sz="4" w:space="0"/>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resourcesForChannel2</w:t>
            </w:r>
          </w:p>
        </w:tc>
        <w:tc>
          <w:tcPr>
            <w:tcW w:w="1180"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new R17</w:t>
            </w:r>
          </w:p>
        </w:tc>
        <w:tc>
          <w:tcPr>
            <w:tcW w:w="447"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 </w:t>
            </w:r>
          </w:p>
        </w:tc>
        <w:tc>
          <w:tcPr>
            <w:tcW w:w="2976"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 xml:space="preserve">CMR resource set 2 associated to CSI-AssociatedReportConfigInfo </w:t>
            </w:r>
          </w:p>
        </w:tc>
        <w:tc>
          <w:tcPr>
            <w:tcW w:w="1984" w:type="dxa"/>
            <w:tcBorders>
              <w:top w:val="nil"/>
              <w:left w:val="nil"/>
              <w:bottom w:val="single" w:color="auto" w:sz="4" w:space="0"/>
              <w:right w:val="single" w:color="auto" w:sz="4" w:space="0"/>
            </w:tcBorders>
            <w:shd w:val="clear" w:color="auto" w:fill="auto"/>
            <w:vAlign w:val="center"/>
          </w:tcPr>
          <w:p>
            <w:pPr>
              <w:spacing w:before="0" w:beforeLines="0" w:after="0" w:line="240" w:lineRule="auto"/>
              <w:jc w:val="left"/>
              <w:rPr>
                <w:rFonts w:ascii="Arial" w:hAnsi="Arial" w:eastAsia="Times New Roman" w:cs="Arial"/>
                <w:sz w:val="18"/>
              </w:rPr>
            </w:pPr>
            <w:r>
              <w:rPr>
                <w:rFonts w:ascii="Arial" w:hAnsi="Arial" w:eastAsia="Times New Roman" w:cs="Arial"/>
                <w:sz w:val="18"/>
              </w:rPr>
              <w:t>Same as Rel.16 resourcesForChannel</w:t>
            </w:r>
          </w:p>
        </w:tc>
      </w:tr>
      <w:tr>
        <w:tblPrEx>
          <w:tblCellMar>
            <w:top w:w="0" w:type="dxa"/>
            <w:left w:w="108" w:type="dxa"/>
            <w:bottom w:w="0" w:type="dxa"/>
            <w:right w:w="108" w:type="dxa"/>
          </w:tblCellMar>
        </w:tblPrEx>
        <w:trPr>
          <w:trHeight w:val="600" w:hRule="atLeast"/>
        </w:trPr>
        <w:tc>
          <w:tcPr>
            <w:tcW w:w="2768"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rPr>
                <w:color w:val="FF0000"/>
                <w:sz w:val="18"/>
                <w:szCs w:val="21"/>
              </w:rPr>
            </w:pPr>
            <w:r>
              <w:rPr>
                <w:color w:val="FF0000"/>
                <w:sz w:val="18"/>
                <w:szCs w:val="21"/>
              </w:rPr>
              <w:t>maxNrofCSI-SSB-ResourceSetsPerConfig</w:t>
            </w:r>
          </w:p>
        </w:tc>
        <w:tc>
          <w:tcPr>
            <w:tcW w:w="1180" w:type="dxa"/>
            <w:tcBorders>
              <w:top w:val="single" w:color="auto" w:sz="4" w:space="0"/>
              <w:left w:val="nil"/>
              <w:bottom w:val="single" w:color="auto" w:sz="4" w:space="0"/>
              <w:right w:val="single" w:color="auto" w:sz="4" w:space="0"/>
            </w:tcBorders>
            <w:shd w:val="clear" w:color="auto" w:fill="auto"/>
            <w:vAlign w:val="center"/>
          </w:tcPr>
          <w:p>
            <w:pPr>
              <w:spacing w:before="120"/>
              <w:rPr>
                <w:color w:val="FF0000"/>
                <w:sz w:val="18"/>
                <w:szCs w:val="21"/>
              </w:rPr>
            </w:pPr>
            <w:r>
              <w:rPr>
                <w:color w:val="FF0000"/>
                <w:sz w:val="18"/>
                <w:szCs w:val="21"/>
              </w:rPr>
              <w:t>existing</w:t>
            </w:r>
          </w:p>
        </w:tc>
        <w:tc>
          <w:tcPr>
            <w:tcW w:w="447" w:type="dxa"/>
            <w:tcBorders>
              <w:top w:val="single" w:color="auto" w:sz="4" w:space="0"/>
              <w:left w:val="nil"/>
              <w:bottom w:val="single" w:color="auto" w:sz="4" w:space="0"/>
              <w:right w:val="single" w:color="auto" w:sz="4" w:space="0"/>
            </w:tcBorders>
            <w:shd w:val="clear" w:color="auto" w:fill="auto"/>
            <w:vAlign w:val="center"/>
          </w:tcPr>
          <w:p>
            <w:pPr>
              <w:spacing w:before="120"/>
              <w:rPr>
                <w:color w:val="FF0000"/>
                <w:sz w:val="18"/>
                <w:szCs w:val="21"/>
              </w:rPr>
            </w:pPr>
            <w:r>
              <w:rPr>
                <w:color w:val="FF0000"/>
                <w:sz w:val="18"/>
                <w:szCs w:val="21"/>
              </w:rPr>
              <w:t> </w:t>
            </w:r>
          </w:p>
        </w:tc>
        <w:tc>
          <w:tcPr>
            <w:tcW w:w="2976" w:type="dxa"/>
            <w:tcBorders>
              <w:top w:val="single" w:color="auto" w:sz="4" w:space="0"/>
              <w:left w:val="nil"/>
              <w:bottom w:val="single" w:color="auto" w:sz="4" w:space="0"/>
              <w:right w:val="single" w:color="auto" w:sz="4" w:space="0"/>
            </w:tcBorders>
            <w:shd w:val="clear" w:color="auto" w:fill="auto"/>
            <w:vAlign w:val="center"/>
          </w:tcPr>
          <w:p>
            <w:pPr>
              <w:spacing w:before="120"/>
              <w:rPr>
                <w:color w:val="FF0000"/>
                <w:sz w:val="18"/>
                <w:szCs w:val="21"/>
              </w:rPr>
            </w:pPr>
            <w:r>
              <w:rPr>
                <w:color w:val="FF0000"/>
                <w:sz w:val="18"/>
                <w:szCs w:val="21"/>
              </w:rPr>
              <w:t>Maximum number of CSI-SSB-Resouce set per CSI-ResourceConfig</w:t>
            </w:r>
          </w:p>
        </w:tc>
        <w:tc>
          <w:tcPr>
            <w:tcW w:w="1984" w:type="dxa"/>
            <w:tcBorders>
              <w:top w:val="single" w:color="auto" w:sz="4" w:space="0"/>
              <w:left w:val="nil"/>
              <w:bottom w:val="single" w:color="auto" w:sz="4" w:space="0"/>
              <w:right w:val="single" w:color="auto" w:sz="4" w:space="0"/>
            </w:tcBorders>
            <w:shd w:val="clear" w:color="auto" w:fill="auto"/>
            <w:vAlign w:val="center"/>
          </w:tcPr>
          <w:p>
            <w:pPr>
              <w:spacing w:before="120"/>
              <w:rPr>
                <w:rFonts w:ascii="Arial" w:hAnsi="Arial" w:eastAsia="Times New Roman" w:cs="Arial"/>
                <w:color w:val="FF0000"/>
                <w:sz w:val="18"/>
                <w:szCs w:val="21"/>
              </w:rPr>
            </w:pPr>
            <w:r>
              <w:rPr>
                <w:rFonts w:hint="eastAsia"/>
                <w:color w:val="FF0000"/>
                <w:sz w:val="18"/>
                <w:szCs w:val="21"/>
              </w:rPr>
              <w:t>{</w:t>
            </w:r>
            <w:r>
              <w:rPr>
                <w:color w:val="FF0000"/>
                <w:sz w:val="18"/>
                <w:szCs w:val="21"/>
              </w:rPr>
              <w:t>1</w:t>
            </w:r>
            <w:r>
              <w:rPr>
                <w:rFonts w:hint="eastAsia"/>
                <w:color w:val="FF0000"/>
                <w:sz w:val="18"/>
                <w:szCs w:val="21"/>
              </w:rPr>
              <w:t>}</w:t>
            </w:r>
            <w:r>
              <w:rPr>
                <w:color w:val="FF0000"/>
                <w:sz w:val="18"/>
                <w:szCs w:val="21"/>
              </w:rPr>
              <w:t xml:space="preserve"> is replaced by {2}</w:t>
            </w:r>
          </w:p>
        </w:tc>
      </w:tr>
    </w:tbl>
    <w:p>
      <w:pPr>
        <w:snapToGrid w:val="0"/>
        <w:spacing w:before="120" w:afterLines="50"/>
        <w:rPr>
          <w:rFonts w:eastAsia="微软雅黑"/>
        </w:rPr>
      </w:pPr>
    </w:p>
    <w:p>
      <w:pPr>
        <w:numPr>
          <w:ilvl w:val="0"/>
          <w:numId w:val="6"/>
        </w:numPr>
        <w:tabs>
          <w:tab w:val="clear" w:pos="432"/>
        </w:tabs>
        <w:snapToGrid w:val="0"/>
        <w:spacing w:before="120" w:afterLines="50"/>
        <w:ind w:left="425" w:hanging="425"/>
        <w:outlineLvl w:val="0"/>
        <w:rPr>
          <w:b/>
          <w:sz w:val="28"/>
        </w:rPr>
      </w:pPr>
      <w:r>
        <w:rPr>
          <w:b/>
          <w:sz w:val="28"/>
        </w:rPr>
        <w:t>References</w:t>
      </w:r>
    </w:p>
    <w:p>
      <w:pPr>
        <w:pStyle w:val="98"/>
        <w:snapToGrid w:val="0"/>
        <w:rPr>
          <w:sz w:val="20"/>
          <w:szCs w:val="20"/>
          <w:lang w:val="en-GB"/>
        </w:rPr>
      </w:pPr>
      <w:r>
        <w:rPr>
          <w:sz w:val="20"/>
          <w:szCs w:val="20"/>
          <w:lang w:val="en-GB"/>
        </w:rPr>
        <w:t>[</w:t>
      </w:r>
      <w:r>
        <w:rPr>
          <w:rFonts w:hint="eastAsia"/>
          <w:sz w:val="20"/>
          <w:szCs w:val="20"/>
        </w:rPr>
        <w:t>1</w:t>
      </w:r>
      <w:r>
        <w:rPr>
          <w:sz w:val="20"/>
          <w:szCs w:val="20"/>
          <w:lang w:val="en-GB"/>
        </w:rPr>
        <w:t xml:space="preserve">] </w:t>
      </w:r>
      <w:bookmarkStart w:id="3" w:name="_Ref481825863"/>
      <w:bookmarkStart w:id="4" w:name="_Ref485106734"/>
      <w:r>
        <w:rPr>
          <w:sz w:val="20"/>
          <w:szCs w:val="20"/>
        </w:rPr>
        <w:t>RP-193133</w:t>
      </w:r>
      <w:r>
        <w:rPr>
          <w:rFonts w:hint="eastAsia"/>
          <w:sz w:val="20"/>
          <w:szCs w:val="20"/>
        </w:rPr>
        <w:t>,</w:t>
      </w:r>
      <w:r>
        <w:rPr>
          <w:sz w:val="20"/>
          <w:szCs w:val="20"/>
        </w:rPr>
        <w:t xml:space="preserve"> New WID: Further enhancements on MIMO for NR, Samsung</w:t>
      </w:r>
      <w:bookmarkEnd w:id="3"/>
      <w:bookmarkEnd w:id="4"/>
      <w:r>
        <w:rPr>
          <w:sz w:val="20"/>
          <w:szCs w:val="20"/>
          <w:lang w:val="en-GB"/>
        </w:rPr>
        <w:t xml:space="preserve"> </w:t>
      </w:r>
      <w:bookmarkStart w:id="5" w:name="_Ref477945819"/>
    </w:p>
    <w:p>
      <w:pPr>
        <w:pStyle w:val="98"/>
        <w:snapToGrid w:val="0"/>
        <w:rPr>
          <w:sz w:val="20"/>
          <w:szCs w:val="20"/>
          <w:lang w:val="en-GB"/>
        </w:rPr>
      </w:pPr>
      <w:r>
        <w:rPr>
          <w:sz w:val="20"/>
          <w:szCs w:val="20"/>
          <w:lang w:val="en-GB"/>
        </w:rPr>
        <w:t>[2] R1-210</w:t>
      </w:r>
      <w:r>
        <w:rPr>
          <w:rFonts w:hint="eastAsia"/>
          <w:sz w:val="20"/>
          <w:szCs w:val="20"/>
        </w:rPr>
        <w:t>8877</w:t>
      </w:r>
      <w:r>
        <w:rPr>
          <w:sz w:val="20"/>
          <w:szCs w:val="20"/>
          <w:lang w:val="en-GB"/>
        </w:rPr>
        <w:t>, Further details on Multi-beam and Multi-TRP</w:t>
      </w:r>
      <w:r>
        <w:rPr>
          <w:rFonts w:hint="eastAsia"/>
          <w:sz w:val="20"/>
          <w:szCs w:val="20"/>
        </w:rPr>
        <w:t>,</w:t>
      </w:r>
      <w:r>
        <w:rPr>
          <w:sz w:val="20"/>
          <w:szCs w:val="20"/>
        </w:rPr>
        <w:t xml:space="preserve"> </w:t>
      </w:r>
      <w:r>
        <w:rPr>
          <w:sz w:val="20"/>
          <w:szCs w:val="20"/>
          <w:lang w:val="en-GB"/>
        </w:rPr>
        <w:t>ZTE</w:t>
      </w:r>
    </w:p>
    <w:bookmarkEnd w:id="5"/>
    <w:p>
      <w:pPr>
        <w:pStyle w:val="98"/>
        <w:snapToGrid w:val="0"/>
        <w:rPr>
          <w:sz w:val="20"/>
          <w:szCs w:val="20"/>
          <w:lang w:val="en-GB"/>
        </w:rPr>
      </w:pPr>
      <w:r>
        <w:rPr>
          <w:sz w:val="20"/>
          <w:szCs w:val="20"/>
          <w:lang w:val="en-GB"/>
        </w:rPr>
        <w:t>[</w:t>
      </w:r>
      <w:r>
        <w:rPr>
          <w:rFonts w:hint="eastAsia"/>
          <w:sz w:val="20"/>
          <w:szCs w:val="20"/>
        </w:rPr>
        <w:t>3</w:t>
      </w:r>
      <w:r>
        <w:rPr>
          <w:sz w:val="20"/>
          <w:szCs w:val="20"/>
          <w:lang w:val="en-GB"/>
        </w:rPr>
        <w:t>] R1-2108676, Moderator summary of RRC parameters for Rel-17 NR_FeMIMO, Samsung</w:t>
      </w:r>
    </w:p>
    <w:p>
      <w:pPr>
        <w:pStyle w:val="98"/>
        <w:snapToGrid w:val="0"/>
        <w:rPr>
          <w:sz w:val="20"/>
          <w:szCs w:val="20"/>
          <w:lang w:val="en-GB"/>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B10D4F"/>
    <w:multiLevelType w:val="multilevel"/>
    <w:tmpl w:val="A4B10D4F"/>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A50B0B88"/>
    <w:multiLevelType w:val="multilevel"/>
    <w:tmpl w:val="A50B0B88"/>
    <w:lvl w:ilvl="0" w:tentative="0">
      <w:start w:val="1"/>
      <w:numFmt w:val="bullet"/>
      <w:lvlText w:val=""/>
      <w:lvlJc w:val="left"/>
      <w:pPr>
        <w:tabs>
          <w:tab w:val="left" w:pos="420"/>
        </w:tabs>
        <w:ind w:left="840" w:hanging="420"/>
      </w:pPr>
      <w:rPr>
        <w:rFonts w:hint="default" w:ascii="Wingdings" w:hAnsi="Wingdings"/>
        <w:sz w:val="16"/>
        <w:szCs w:val="16"/>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
    <w:nsid w:val="A7E83D95"/>
    <w:multiLevelType w:val="multilevel"/>
    <w:tmpl w:val="A7E83D95"/>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ED63AA74"/>
    <w:multiLevelType w:val="multilevel"/>
    <w:tmpl w:val="ED63AA74"/>
    <w:lvl w:ilvl="0" w:tentative="0">
      <w:start w:val="1"/>
      <w:numFmt w:val="decimal"/>
      <w:pStyle w:val="2"/>
      <w:isLgl/>
      <w:lvlText w:val="%1."/>
      <w:lvlJc w:val="left"/>
      <w:pPr>
        <w:ind w:left="425" w:hanging="425"/>
      </w:pPr>
      <w:rPr>
        <w:rFonts w:hint="default" w:ascii="宋体" w:hAnsi="宋体" w:eastAsia="宋体" w:cs="宋体"/>
      </w:rPr>
    </w:lvl>
    <w:lvl w:ilvl="1" w:tentative="0">
      <w:start w:val="1"/>
      <w:numFmt w:val="decimal"/>
      <w:pStyle w:val="3"/>
      <w:isLgl/>
      <w:lvlText w:val="%1.%2."/>
      <w:lvlJc w:val="left"/>
      <w:pPr>
        <w:ind w:left="567" w:hanging="567"/>
      </w:pPr>
      <w:rPr>
        <w:rFonts w:hint="default" w:ascii="宋体" w:hAnsi="宋体" w:eastAsia="宋体" w:cs="宋体"/>
      </w:rPr>
    </w:lvl>
    <w:lvl w:ilvl="2" w:tentative="0">
      <w:start w:val="1"/>
      <w:numFmt w:val="decimal"/>
      <w:pStyle w:val="4"/>
      <w:isLg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4184E13"/>
    <w:multiLevelType w:val="multilevel"/>
    <w:tmpl w:val="04184E13"/>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36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6">
    <w:nsid w:val="060D3FFB"/>
    <w:multiLevelType w:val="multilevel"/>
    <w:tmpl w:val="060D3FFB"/>
    <w:lvl w:ilvl="0" w:tentative="0">
      <w:start w:val="1"/>
      <w:numFmt w:val="bullet"/>
      <w:pStyle w:val="9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0D15FE4"/>
    <w:multiLevelType w:val="multilevel"/>
    <w:tmpl w:val="10D15FE4"/>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13AB3846"/>
    <w:multiLevelType w:val="multilevel"/>
    <w:tmpl w:val="13AB38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79023D4"/>
    <w:multiLevelType w:val="multilevel"/>
    <w:tmpl w:val="179023D4"/>
    <w:lvl w:ilvl="0" w:tentative="0">
      <w:start w:val="2"/>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260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2">
    <w:nsid w:val="28992238"/>
    <w:multiLevelType w:val="multilevel"/>
    <w:tmpl w:val="28992238"/>
    <w:lvl w:ilvl="0" w:tentative="0">
      <w:start w:val="1"/>
      <w:numFmt w:val="bullet"/>
      <w:lvlText w:val=""/>
      <w:lvlJc w:val="left"/>
      <w:pPr>
        <w:ind w:left="360" w:hanging="360"/>
      </w:pPr>
      <w:rPr>
        <w:rFonts w:hint="default" w:ascii="Symbol" w:hAnsi="Symbol"/>
        <w:lang w:val="en-G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3310323"/>
    <w:multiLevelType w:val="multilevel"/>
    <w:tmpl w:val="433103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17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8D80F43"/>
    <w:multiLevelType w:val="multilevel"/>
    <w:tmpl w:val="58D80F43"/>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59A18625"/>
    <w:multiLevelType w:val="multilevel"/>
    <w:tmpl w:val="59A18625"/>
    <w:lvl w:ilvl="0" w:tentative="0">
      <w:start w:val="0"/>
      <w:numFmt w:val="bullet"/>
      <w:lvlText w:val="-"/>
      <w:lvlJc w:val="left"/>
      <w:pPr>
        <w:ind w:left="-40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5B977CE4"/>
    <w:multiLevelType w:val="multilevel"/>
    <w:tmpl w:val="5B977CE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5F1912B1"/>
    <w:multiLevelType w:val="multilevel"/>
    <w:tmpl w:val="5F1912B1"/>
    <w:lvl w:ilvl="0" w:tentative="0">
      <w:start w:val="1"/>
      <w:numFmt w:val="bullet"/>
      <w:pStyle w:val="69"/>
      <w:lvlText w:val=""/>
      <w:lvlJc w:val="left"/>
      <w:pPr>
        <w:ind w:left="720" w:hanging="360"/>
      </w:pPr>
      <w:rPr>
        <w:rFonts w:hint="default" w:ascii="Symbol" w:hAnsi="Symbol"/>
      </w:rPr>
    </w:lvl>
    <w:lvl w:ilvl="1" w:tentative="0">
      <w:start w:val="1"/>
      <w:numFmt w:val="bullet"/>
      <w:pStyle w:val="81"/>
      <w:lvlText w:val="o"/>
      <w:lvlJc w:val="left"/>
      <w:pPr>
        <w:ind w:left="1440" w:hanging="360"/>
      </w:pPr>
      <w:rPr>
        <w:rFonts w:hint="default" w:ascii="Courier New" w:hAnsi="Courier New" w:cs="Courier New"/>
      </w:rPr>
    </w:lvl>
    <w:lvl w:ilvl="2" w:tentative="0">
      <w:start w:val="1"/>
      <w:numFmt w:val="bullet"/>
      <w:pStyle w:val="44"/>
      <w:lvlText w:val=""/>
      <w:lvlJc w:val="left"/>
      <w:pPr>
        <w:ind w:left="2160" w:hanging="360"/>
      </w:pPr>
      <w:rPr>
        <w:rFonts w:hint="default" w:ascii="Wingdings" w:hAnsi="Wingdings"/>
      </w:rPr>
    </w:lvl>
    <w:lvl w:ilvl="3" w:tentative="0">
      <w:start w:val="1"/>
      <w:numFmt w:val="bullet"/>
      <w:pStyle w:val="10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18869EA"/>
    <w:multiLevelType w:val="multilevel"/>
    <w:tmpl w:val="618869EA"/>
    <w:lvl w:ilvl="0" w:tentative="0">
      <w:start w:val="1"/>
      <w:numFmt w:val="decimal"/>
      <w:lvlText w:val="%1."/>
      <w:lvlJc w:val="left"/>
      <w:pPr>
        <w:tabs>
          <w:tab w:val="left" w:pos="432"/>
        </w:tabs>
        <w:ind w:left="432" w:hanging="432"/>
      </w:pPr>
      <w:rPr>
        <w:rFonts w:hint="eastAsia"/>
        <w:b/>
        <w:i w:val="0"/>
        <w:sz w:val="28"/>
      </w:rPr>
    </w:lvl>
    <w:lvl w:ilvl="1" w:tentative="0">
      <w:start w:val="1"/>
      <w:numFmt w:val="decimal"/>
      <w:lvlText w:val="%1.%2"/>
      <w:lvlJc w:val="left"/>
      <w:pPr>
        <w:tabs>
          <w:tab w:val="left" w:pos="576"/>
        </w:tabs>
        <w:ind w:left="576" w:hanging="576"/>
      </w:pPr>
      <w:rPr>
        <w:rFonts w:hint="eastAsia"/>
        <w:b/>
        <w:i w:val="0"/>
        <w:sz w:val="28"/>
      </w:rPr>
    </w:lvl>
    <w:lvl w:ilvl="2" w:tentative="0">
      <w:start w:val="1"/>
      <w:numFmt w:val="decimal"/>
      <w:lvlText w:val="%1.%2.%3"/>
      <w:lvlJc w:val="left"/>
      <w:pPr>
        <w:tabs>
          <w:tab w:val="left" w:pos="720"/>
        </w:tabs>
        <w:ind w:left="720" w:hanging="720"/>
      </w:pPr>
      <w:rPr>
        <w:rFonts w:hint="eastAsia"/>
        <w:b/>
        <w:i w:val="0"/>
        <w:sz w:val="24"/>
        <w:szCs w:val="24"/>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0">
    <w:nsid w:val="6728BC38"/>
    <w:multiLevelType w:val="singleLevel"/>
    <w:tmpl w:val="6728BC38"/>
    <w:lvl w:ilvl="0" w:tentative="0">
      <w:start w:val="1"/>
      <w:numFmt w:val="bullet"/>
      <w:lvlText w:val=""/>
      <w:lvlJc w:val="left"/>
      <w:pPr>
        <w:tabs>
          <w:tab w:val="left" w:pos="420"/>
        </w:tabs>
        <w:ind w:left="840" w:hanging="420"/>
      </w:pPr>
      <w:rPr>
        <w:rFonts w:hint="default" w:ascii="Wingdings" w:hAnsi="Wingdings"/>
        <w:sz w:val="16"/>
        <w:szCs w:val="16"/>
      </w:rPr>
    </w:lvl>
  </w:abstractNum>
  <w:abstractNum w:abstractNumId="21">
    <w:nsid w:val="69551C99"/>
    <w:multiLevelType w:val="multilevel"/>
    <w:tmpl w:val="69551C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D0AC1B0"/>
    <w:multiLevelType w:val="multilevel"/>
    <w:tmpl w:val="6D0AC1B0"/>
    <w:lvl w:ilvl="0" w:tentative="0">
      <w:start w:val="3"/>
      <w:numFmt w:val="bullet"/>
      <w:lvlText w:val="-"/>
      <w:lvlJc w:val="left"/>
      <w:pPr>
        <w:tabs>
          <w:tab w:val="left" w:pos="-420"/>
        </w:tabs>
        <w:ind w:left="340" w:hanging="360"/>
      </w:pPr>
      <w:rPr>
        <w:rFonts w:hint="default" w:ascii="Times New Roman" w:hAnsi="Times New Roman" w:eastAsia="Malgun Gothic" w:cs="Arial"/>
      </w:rPr>
    </w:lvl>
    <w:lvl w:ilvl="1" w:tentative="0">
      <w:start w:val="1"/>
      <w:numFmt w:val="bullet"/>
      <w:lvlText w:val=""/>
      <w:lvlJc w:val="left"/>
      <w:pPr>
        <w:tabs>
          <w:tab w:val="left" w:pos="-420"/>
        </w:tabs>
        <w:ind w:left="780" w:hanging="400"/>
      </w:pPr>
      <w:rPr>
        <w:rFonts w:hint="default" w:ascii="Symbol" w:hAnsi="Symbol"/>
      </w:rPr>
    </w:lvl>
    <w:lvl w:ilvl="2" w:tentative="0">
      <w:start w:val="1"/>
      <w:numFmt w:val="bullet"/>
      <w:lvlText w:val="o"/>
      <w:lvlJc w:val="left"/>
      <w:pPr>
        <w:tabs>
          <w:tab w:val="left" w:pos="-420"/>
        </w:tabs>
        <w:ind w:left="1180" w:hanging="400"/>
      </w:pPr>
      <w:rPr>
        <w:rFonts w:hint="default" w:ascii="Courier New" w:hAnsi="Courier New" w:cs="Courier New"/>
      </w:rPr>
    </w:lvl>
    <w:lvl w:ilvl="3" w:tentative="0">
      <w:start w:val="3"/>
      <w:numFmt w:val="bullet"/>
      <w:lvlText w:val="-"/>
      <w:lvlJc w:val="left"/>
      <w:pPr>
        <w:tabs>
          <w:tab w:val="left" w:pos="-420"/>
        </w:tabs>
        <w:ind w:left="1580" w:hanging="400"/>
      </w:pPr>
      <w:rPr>
        <w:rFonts w:hint="default" w:ascii="Times New Roman" w:hAnsi="Times New Roman" w:eastAsia="Malgun Gothic" w:cs="Arial"/>
      </w:rPr>
    </w:lvl>
    <w:lvl w:ilvl="4" w:tentative="0">
      <w:start w:val="1"/>
      <w:numFmt w:val="bullet"/>
      <w:lvlText w:val=""/>
      <w:lvlJc w:val="left"/>
      <w:pPr>
        <w:tabs>
          <w:tab w:val="left" w:pos="-420"/>
        </w:tabs>
        <w:ind w:left="1980" w:hanging="400"/>
      </w:pPr>
      <w:rPr>
        <w:rFonts w:hint="default" w:ascii="Wingdings" w:hAnsi="Wingdings"/>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23">
    <w:nsid w:val="75E10534"/>
    <w:multiLevelType w:val="multilevel"/>
    <w:tmpl w:val="75E10534"/>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48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2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9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8"/>
  </w:num>
  <w:num w:numId="3">
    <w:abstractNumId w:val="4"/>
  </w:num>
  <w:num w:numId="4">
    <w:abstractNumId w:val="24"/>
  </w:num>
  <w:num w:numId="5">
    <w:abstractNumId w:val="6"/>
  </w:num>
  <w:num w:numId="6">
    <w:abstractNumId w:val="19"/>
  </w:num>
  <w:num w:numId="7">
    <w:abstractNumId w:val="13"/>
  </w:num>
  <w:num w:numId="8">
    <w:abstractNumId w:val="9"/>
  </w:num>
  <w:num w:numId="9">
    <w:abstractNumId w:val="0"/>
  </w:num>
  <w:num w:numId="10">
    <w:abstractNumId w:val="12"/>
  </w:num>
  <w:num w:numId="11">
    <w:abstractNumId w:val="2"/>
  </w:num>
  <w:num w:numId="12">
    <w:abstractNumId w:val="11"/>
  </w:num>
  <w:num w:numId="13">
    <w:abstractNumId w:val="10"/>
  </w:num>
  <w:num w:numId="14">
    <w:abstractNumId w:val="8"/>
  </w:num>
  <w:num w:numId="15">
    <w:abstractNumId w:val="21"/>
  </w:num>
  <w:num w:numId="16">
    <w:abstractNumId w:val="7"/>
  </w:num>
  <w:num w:numId="17">
    <w:abstractNumId w:val="14"/>
  </w:num>
  <w:num w:numId="18">
    <w:abstractNumId w:val="22"/>
  </w:num>
  <w:num w:numId="19">
    <w:abstractNumId w:val="17"/>
  </w:num>
  <w:num w:numId="20">
    <w:abstractNumId w:val="5"/>
  </w:num>
  <w:num w:numId="21">
    <w:abstractNumId w:val="20"/>
  </w:num>
  <w:num w:numId="22">
    <w:abstractNumId w:val="1"/>
  </w:num>
  <w:num w:numId="23">
    <w:abstractNumId w:val="23"/>
  </w:num>
  <w:num w:numId="24">
    <w:abstractNumId w:val="1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75E"/>
    <w:rsid w:val="000049AC"/>
    <w:rsid w:val="00004ED1"/>
    <w:rsid w:val="0000557C"/>
    <w:rsid w:val="000055D1"/>
    <w:rsid w:val="00005762"/>
    <w:rsid w:val="000057B9"/>
    <w:rsid w:val="000062AC"/>
    <w:rsid w:val="0000637C"/>
    <w:rsid w:val="000064CE"/>
    <w:rsid w:val="000066C6"/>
    <w:rsid w:val="000066E7"/>
    <w:rsid w:val="00006711"/>
    <w:rsid w:val="000068DA"/>
    <w:rsid w:val="00006A0E"/>
    <w:rsid w:val="00006CC8"/>
    <w:rsid w:val="0000705B"/>
    <w:rsid w:val="00007304"/>
    <w:rsid w:val="00007EEB"/>
    <w:rsid w:val="00010512"/>
    <w:rsid w:val="00010969"/>
    <w:rsid w:val="000114C3"/>
    <w:rsid w:val="000114F8"/>
    <w:rsid w:val="00011890"/>
    <w:rsid w:val="00011BB4"/>
    <w:rsid w:val="00011C8C"/>
    <w:rsid w:val="00011CE0"/>
    <w:rsid w:val="00012115"/>
    <w:rsid w:val="000123B6"/>
    <w:rsid w:val="000128EC"/>
    <w:rsid w:val="00012E08"/>
    <w:rsid w:val="00012E58"/>
    <w:rsid w:val="000132A2"/>
    <w:rsid w:val="00013C5E"/>
    <w:rsid w:val="00014115"/>
    <w:rsid w:val="0001445A"/>
    <w:rsid w:val="00014604"/>
    <w:rsid w:val="000149BC"/>
    <w:rsid w:val="0001555C"/>
    <w:rsid w:val="000164F2"/>
    <w:rsid w:val="00016BE3"/>
    <w:rsid w:val="0001758E"/>
    <w:rsid w:val="00017916"/>
    <w:rsid w:val="0001796D"/>
    <w:rsid w:val="00017CFA"/>
    <w:rsid w:val="00017E5A"/>
    <w:rsid w:val="0002047C"/>
    <w:rsid w:val="000204F2"/>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48B9"/>
    <w:rsid w:val="00025226"/>
    <w:rsid w:val="00025695"/>
    <w:rsid w:val="000257BD"/>
    <w:rsid w:val="00025E0F"/>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44"/>
    <w:rsid w:val="00031458"/>
    <w:rsid w:val="0003180D"/>
    <w:rsid w:val="00032289"/>
    <w:rsid w:val="000322B0"/>
    <w:rsid w:val="00032A4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02FC"/>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5B"/>
    <w:rsid w:val="000454E2"/>
    <w:rsid w:val="000458E6"/>
    <w:rsid w:val="00045E51"/>
    <w:rsid w:val="00045F11"/>
    <w:rsid w:val="00046EFA"/>
    <w:rsid w:val="000476D8"/>
    <w:rsid w:val="00050153"/>
    <w:rsid w:val="00050399"/>
    <w:rsid w:val="000504C2"/>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28B"/>
    <w:rsid w:val="00054550"/>
    <w:rsid w:val="0005463C"/>
    <w:rsid w:val="00054700"/>
    <w:rsid w:val="000549F0"/>
    <w:rsid w:val="000554D2"/>
    <w:rsid w:val="00055624"/>
    <w:rsid w:val="0005594E"/>
    <w:rsid w:val="000559F1"/>
    <w:rsid w:val="00055DB2"/>
    <w:rsid w:val="0005716B"/>
    <w:rsid w:val="0005757D"/>
    <w:rsid w:val="00057AC7"/>
    <w:rsid w:val="000600F5"/>
    <w:rsid w:val="00060A3F"/>
    <w:rsid w:val="00060BF4"/>
    <w:rsid w:val="00060F20"/>
    <w:rsid w:val="00060FDD"/>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08DF"/>
    <w:rsid w:val="00071CCB"/>
    <w:rsid w:val="00071F92"/>
    <w:rsid w:val="0007309B"/>
    <w:rsid w:val="00073715"/>
    <w:rsid w:val="000738FD"/>
    <w:rsid w:val="00073A92"/>
    <w:rsid w:val="00074888"/>
    <w:rsid w:val="00074A32"/>
    <w:rsid w:val="00074B8B"/>
    <w:rsid w:val="0007636A"/>
    <w:rsid w:val="000768A6"/>
    <w:rsid w:val="0007696E"/>
    <w:rsid w:val="0007723B"/>
    <w:rsid w:val="00077B57"/>
    <w:rsid w:val="00077BF8"/>
    <w:rsid w:val="00077CAD"/>
    <w:rsid w:val="000800AF"/>
    <w:rsid w:val="0008046A"/>
    <w:rsid w:val="00080A41"/>
    <w:rsid w:val="00080BB6"/>
    <w:rsid w:val="0008126C"/>
    <w:rsid w:val="000816E9"/>
    <w:rsid w:val="00082030"/>
    <w:rsid w:val="00082E47"/>
    <w:rsid w:val="00082E4E"/>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1BAA"/>
    <w:rsid w:val="00091D9B"/>
    <w:rsid w:val="00092B46"/>
    <w:rsid w:val="00092BA8"/>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710"/>
    <w:rsid w:val="000A2BF8"/>
    <w:rsid w:val="000A3632"/>
    <w:rsid w:val="000A383F"/>
    <w:rsid w:val="000A436D"/>
    <w:rsid w:val="000A53B8"/>
    <w:rsid w:val="000A56C6"/>
    <w:rsid w:val="000A5C88"/>
    <w:rsid w:val="000A5FF8"/>
    <w:rsid w:val="000A61C7"/>
    <w:rsid w:val="000A62EA"/>
    <w:rsid w:val="000A6303"/>
    <w:rsid w:val="000A777F"/>
    <w:rsid w:val="000B00E0"/>
    <w:rsid w:val="000B0383"/>
    <w:rsid w:val="000B11FA"/>
    <w:rsid w:val="000B19F9"/>
    <w:rsid w:val="000B1A32"/>
    <w:rsid w:val="000B25C3"/>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010"/>
    <w:rsid w:val="000C04EB"/>
    <w:rsid w:val="000C050C"/>
    <w:rsid w:val="000C08A3"/>
    <w:rsid w:val="000C0D53"/>
    <w:rsid w:val="000C0E9F"/>
    <w:rsid w:val="000C0FA8"/>
    <w:rsid w:val="000C10C4"/>
    <w:rsid w:val="000C11B9"/>
    <w:rsid w:val="000C1238"/>
    <w:rsid w:val="000C16D7"/>
    <w:rsid w:val="000C1C26"/>
    <w:rsid w:val="000C207A"/>
    <w:rsid w:val="000C25BD"/>
    <w:rsid w:val="000C2810"/>
    <w:rsid w:val="000C2A7B"/>
    <w:rsid w:val="000C2C74"/>
    <w:rsid w:val="000C308D"/>
    <w:rsid w:val="000C33BB"/>
    <w:rsid w:val="000C395E"/>
    <w:rsid w:val="000C4240"/>
    <w:rsid w:val="000C45FE"/>
    <w:rsid w:val="000C4ECD"/>
    <w:rsid w:val="000C5630"/>
    <w:rsid w:val="000C577F"/>
    <w:rsid w:val="000C5E7D"/>
    <w:rsid w:val="000C64C0"/>
    <w:rsid w:val="000C6C88"/>
    <w:rsid w:val="000C7443"/>
    <w:rsid w:val="000C7B4C"/>
    <w:rsid w:val="000D05EC"/>
    <w:rsid w:val="000D0C3A"/>
    <w:rsid w:val="000D152D"/>
    <w:rsid w:val="000D1AB9"/>
    <w:rsid w:val="000D1B0E"/>
    <w:rsid w:val="000D1BD9"/>
    <w:rsid w:val="000D2665"/>
    <w:rsid w:val="000D2C0B"/>
    <w:rsid w:val="000D33D7"/>
    <w:rsid w:val="000D33FF"/>
    <w:rsid w:val="000D3518"/>
    <w:rsid w:val="000D390D"/>
    <w:rsid w:val="000D3C7C"/>
    <w:rsid w:val="000D3E39"/>
    <w:rsid w:val="000D4097"/>
    <w:rsid w:val="000D463D"/>
    <w:rsid w:val="000D4871"/>
    <w:rsid w:val="000D4C91"/>
    <w:rsid w:val="000D4ECB"/>
    <w:rsid w:val="000D4F19"/>
    <w:rsid w:val="000D55C0"/>
    <w:rsid w:val="000D58E6"/>
    <w:rsid w:val="000D5EAA"/>
    <w:rsid w:val="000D613F"/>
    <w:rsid w:val="000D6564"/>
    <w:rsid w:val="000D744C"/>
    <w:rsid w:val="000D7762"/>
    <w:rsid w:val="000E0044"/>
    <w:rsid w:val="000E0451"/>
    <w:rsid w:val="000E089C"/>
    <w:rsid w:val="000E0908"/>
    <w:rsid w:val="000E0A02"/>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4F08"/>
    <w:rsid w:val="000E53DA"/>
    <w:rsid w:val="000E583A"/>
    <w:rsid w:val="000E5CD1"/>
    <w:rsid w:val="000E6036"/>
    <w:rsid w:val="000E636A"/>
    <w:rsid w:val="000E6DFB"/>
    <w:rsid w:val="000E7188"/>
    <w:rsid w:val="000E7ADF"/>
    <w:rsid w:val="000F0F9B"/>
    <w:rsid w:val="000F104F"/>
    <w:rsid w:val="000F14A4"/>
    <w:rsid w:val="000F1A83"/>
    <w:rsid w:val="000F1AE8"/>
    <w:rsid w:val="000F1D39"/>
    <w:rsid w:val="000F1E06"/>
    <w:rsid w:val="000F1F38"/>
    <w:rsid w:val="000F2106"/>
    <w:rsid w:val="000F25D2"/>
    <w:rsid w:val="000F43B9"/>
    <w:rsid w:val="000F4551"/>
    <w:rsid w:val="000F4E7F"/>
    <w:rsid w:val="000F5901"/>
    <w:rsid w:val="000F5D0F"/>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13F"/>
    <w:rsid w:val="00101AFD"/>
    <w:rsid w:val="00101B58"/>
    <w:rsid w:val="00101C8E"/>
    <w:rsid w:val="00102192"/>
    <w:rsid w:val="0010229B"/>
    <w:rsid w:val="00102718"/>
    <w:rsid w:val="00102C38"/>
    <w:rsid w:val="0010402E"/>
    <w:rsid w:val="00104247"/>
    <w:rsid w:val="00104620"/>
    <w:rsid w:val="001046A2"/>
    <w:rsid w:val="00104768"/>
    <w:rsid w:val="00104C0D"/>
    <w:rsid w:val="00104D0E"/>
    <w:rsid w:val="00105A7D"/>
    <w:rsid w:val="00107197"/>
    <w:rsid w:val="00107BF2"/>
    <w:rsid w:val="00110916"/>
    <w:rsid w:val="0011099C"/>
    <w:rsid w:val="00110C23"/>
    <w:rsid w:val="0011172D"/>
    <w:rsid w:val="00111964"/>
    <w:rsid w:val="00112302"/>
    <w:rsid w:val="0011277E"/>
    <w:rsid w:val="00112C2B"/>
    <w:rsid w:val="00112C89"/>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7079"/>
    <w:rsid w:val="001279FE"/>
    <w:rsid w:val="00127AFD"/>
    <w:rsid w:val="00130E18"/>
    <w:rsid w:val="001315A9"/>
    <w:rsid w:val="00131A50"/>
    <w:rsid w:val="001321B3"/>
    <w:rsid w:val="00132346"/>
    <w:rsid w:val="001323DF"/>
    <w:rsid w:val="00132581"/>
    <w:rsid w:val="00132A1F"/>
    <w:rsid w:val="001330A4"/>
    <w:rsid w:val="001330ED"/>
    <w:rsid w:val="00133157"/>
    <w:rsid w:val="00133A6E"/>
    <w:rsid w:val="00133CA3"/>
    <w:rsid w:val="00134454"/>
    <w:rsid w:val="001348A1"/>
    <w:rsid w:val="00134B67"/>
    <w:rsid w:val="001352CD"/>
    <w:rsid w:val="00135314"/>
    <w:rsid w:val="001357D0"/>
    <w:rsid w:val="00136047"/>
    <w:rsid w:val="001361A8"/>
    <w:rsid w:val="0013654C"/>
    <w:rsid w:val="0013671C"/>
    <w:rsid w:val="00136CAB"/>
    <w:rsid w:val="00136FA8"/>
    <w:rsid w:val="00137314"/>
    <w:rsid w:val="0013766C"/>
    <w:rsid w:val="001377C2"/>
    <w:rsid w:val="00137C6E"/>
    <w:rsid w:val="00140080"/>
    <w:rsid w:val="001404E2"/>
    <w:rsid w:val="001405C3"/>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3DF"/>
    <w:rsid w:val="00145903"/>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1C9"/>
    <w:rsid w:val="001514E0"/>
    <w:rsid w:val="00151632"/>
    <w:rsid w:val="001522BF"/>
    <w:rsid w:val="00152345"/>
    <w:rsid w:val="00152731"/>
    <w:rsid w:val="001532EA"/>
    <w:rsid w:val="001538F2"/>
    <w:rsid w:val="00153CF0"/>
    <w:rsid w:val="0015403C"/>
    <w:rsid w:val="0015441C"/>
    <w:rsid w:val="00154AB2"/>
    <w:rsid w:val="00154CBB"/>
    <w:rsid w:val="00154D2A"/>
    <w:rsid w:val="00154F10"/>
    <w:rsid w:val="0015538D"/>
    <w:rsid w:val="00156172"/>
    <w:rsid w:val="0015646F"/>
    <w:rsid w:val="001564A2"/>
    <w:rsid w:val="001569F6"/>
    <w:rsid w:val="00156EA4"/>
    <w:rsid w:val="00156EC1"/>
    <w:rsid w:val="001577E2"/>
    <w:rsid w:val="0015796A"/>
    <w:rsid w:val="0016078A"/>
    <w:rsid w:val="00160F87"/>
    <w:rsid w:val="00161D71"/>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F7D"/>
    <w:rsid w:val="00167FDF"/>
    <w:rsid w:val="00170C25"/>
    <w:rsid w:val="00170D4E"/>
    <w:rsid w:val="00171303"/>
    <w:rsid w:val="0017169D"/>
    <w:rsid w:val="001716FD"/>
    <w:rsid w:val="00171EE9"/>
    <w:rsid w:val="00172053"/>
    <w:rsid w:val="00172130"/>
    <w:rsid w:val="001725D6"/>
    <w:rsid w:val="00172A27"/>
    <w:rsid w:val="001732CF"/>
    <w:rsid w:val="00173748"/>
    <w:rsid w:val="00173A32"/>
    <w:rsid w:val="00173AF4"/>
    <w:rsid w:val="001740D8"/>
    <w:rsid w:val="00174711"/>
    <w:rsid w:val="00174885"/>
    <w:rsid w:val="00175977"/>
    <w:rsid w:val="00175D67"/>
    <w:rsid w:val="00175F47"/>
    <w:rsid w:val="0017626A"/>
    <w:rsid w:val="00176815"/>
    <w:rsid w:val="00176CC8"/>
    <w:rsid w:val="00176D05"/>
    <w:rsid w:val="00177475"/>
    <w:rsid w:val="0017785F"/>
    <w:rsid w:val="001801D5"/>
    <w:rsid w:val="0018071A"/>
    <w:rsid w:val="00180C8E"/>
    <w:rsid w:val="001813B0"/>
    <w:rsid w:val="00181632"/>
    <w:rsid w:val="00181834"/>
    <w:rsid w:val="00181961"/>
    <w:rsid w:val="00181BA1"/>
    <w:rsid w:val="00182231"/>
    <w:rsid w:val="001829F9"/>
    <w:rsid w:val="00183A86"/>
    <w:rsid w:val="00183CD7"/>
    <w:rsid w:val="0018448C"/>
    <w:rsid w:val="00184663"/>
    <w:rsid w:val="0018482D"/>
    <w:rsid w:val="0018515B"/>
    <w:rsid w:val="0018522E"/>
    <w:rsid w:val="001857FB"/>
    <w:rsid w:val="00185A4E"/>
    <w:rsid w:val="0018607D"/>
    <w:rsid w:val="00186631"/>
    <w:rsid w:val="00186A4B"/>
    <w:rsid w:val="00186B41"/>
    <w:rsid w:val="00187946"/>
    <w:rsid w:val="001879E9"/>
    <w:rsid w:val="00187B3C"/>
    <w:rsid w:val="001900EF"/>
    <w:rsid w:val="001901E9"/>
    <w:rsid w:val="0019053A"/>
    <w:rsid w:val="00191956"/>
    <w:rsid w:val="00191B0E"/>
    <w:rsid w:val="001923B8"/>
    <w:rsid w:val="001923FD"/>
    <w:rsid w:val="0019290C"/>
    <w:rsid w:val="00192C67"/>
    <w:rsid w:val="00192CDE"/>
    <w:rsid w:val="00193139"/>
    <w:rsid w:val="001933D2"/>
    <w:rsid w:val="00193EFC"/>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D64"/>
    <w:rsid w:val="001A4F78"/>
    <w:rsid w:val="001A5541"/>
    <w:rsid w:val="001A57A5"/>
    <w:rsid w:val="001A5BA3"/>
    <w:rsid w:val="001A5DF4"/>
    <w:rsid w:val="001A69B1"/>
    <w:rsid w:val="001A6B63"/>
    <w:rsid w:val="001A73AF"/>
    <w:rsid w:val="001A76E7"/>
    <w:rsid w:val="001A782B"/>
    <w:rsid w:val="001A78DB"/>
    <w:rsid w:val="001B011F"/>
    <w:rsid w:val="001B019B"/>
    <w:rsid w:val="001B020B"/>
    <w:rsid w:val="001B088B"/>
    <w:rsid w:val="001B08A8"/>
    <w:rsid w:val="001B0B5F"/>
    <w:rsid w:val="001B0E86"/>
    <w:rsid w:val="001B0FFD"/>
    <w:rsid w:val="001B150D"/>
    <w:rsid w:val="001B156C"/>
    <w:rsid w:val="001B1972"/>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99F"/>
    <w:rsid w:val="001C7A00"/>
    <w:rsid w:val="001C7B17"/>
    <w:rsid w:val="001C7E03"/>
    <w:rsid w:val="001D00E8"/>
    <w:rsid w:val="001D041A"/>
    <w:rsid w:val="001D0969"/>
    <w:rsid w:val="001D0AE5"/>
    <w:rsid w:val="001D0D3A"/>
    <w:rsid w:val="001D0D60"/>
    <w:rsid w:val="001D0E1A"/>
    <w:rsid w:val="001D1182"/>
    <w:rsid w:val="001D1238"/>
    <w:rsid w:val="001D171D"/>
    <w:rsid w:val="001D19B8"/>
    <w:rsid w:val="001D1DF0"/>
    <w:rsid w:val="001D1EE9"/>
    <w:rsid w:val="001D2169"/>
    <w:rsid w:val="001D29E3"/>
    <w:rsid w:val="001D2D89"/>
    <w:rsid w:val="001D378B"/>
    <w:rsid w:val="001D3ED5"/>
    <w:rsid w:val="001D55C7"/>
    <w:rsid w:val="001D5ECA"/>
    <w:rsid w:val="001D691F"/>
    <w:rsid w:val="001D69D3"/>
    <w:rsid w:val="001D6F11"/>
    <w:rsid w:val="001D6FDE"/>
    <w:rsid w:val="001D71E9"/>
    <w:rsid w:val="001D73B2"/>
    <w:rsid w:val="001D747E"/>
    <w:rsid w:val="001D7B87"/>
    <w:rsid w:val="001D7BF0"/>
    <w:rsid w:val="001E072A"/>
    <w:rsid w:val="001E1705"/>
    <w:rsid w:val="001E1A77"/>
    <w:rsid w:val="001E25AB"/>
    <w:rsid w:val="001E2890"/>
    <w:rsid w:val="001E308B"/>
    <w:rsid w:val="001E315B"/>
    <w:rsid w:val="001E35C2"/>
    <w:rsid w:val="001E38F2"/>
    <w:rsid w:val="001E3D04"/>
    <w:rsid w:val="001E5142"/>
    <w:rsid w:val="001E53EB"/>
    <w:rsid w:val="001E58DF"/>
    <w:rsid w:val="001E5A85"/>
    <w:rsid w:val="001E5EE4"/>
    <w:rsid w:val="001E6346"/>
    <w:rsid w:val="001E659B"/>
    <w:rsid w:val="001E68AA"/>
    <w:rsid w:val="001E6C50"/>
    <w:rsid w:val="001E6DE0"/>
    <w:rsid w:val="001E71CB"/>
    <w:rsid w:val="001E7272"/>
    <w:rsid w:val="001E7275"/>
    <w:rsid w:val="001E7430"/>
    <w:rsid w:val="001F0092"/>
    <w:rsid w:val="001F099E"/>
    <w:rsid w:val="001F0A57"/>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C71"/>
    <w:rsid w:val="001F7ED6"/>
    <w:rsid w:val="002008F3"/>
    <w:rsid w:val="00200E3F"/>
    <w:rsid w:val="0020129B"/>
    <w:rsid w:val="0020130A"/>
    <w:rsid w:val="002016F0"/>
    <w:rsid w:val="00201915"/>
    <w:rsid w:val="00202307"/>
    <w:rsid w:val="002023B1"/>
    <w:rsid w:val="00202570"/>
    <w:rsid w:val="00202D92"/>
    <w:rsid w:val="00202FF3"/>
    <w:rsid w:val="00203068"/>
    <w:rsid w:val="0020349A"/>
    <w:rsid w:val="0020406D"/>
    <w:rsid w:val="0020425D"/>
    <w:rsid w:val="002043E9"/>
    <w:rsid w:val="00204AD0"/>
    <w:rsid w:val="00204B02"/>
    <w:rsid w:val="00204C5F"/>
    <w:rsid w:val="00204D61"/>
    <w:rsid w:val="00204EE8"/>
    <w:rsid w:val="002058C4"/>
    <w:rsid w:val="00205A12"/>
    <w:rsid w:val="00205C4F"/>
    <w:rsid w:val="00205E90"/>
    <w:rsid w:val="00205EB0"/>
    <w:rsid w:val="00205F92"/>
    <w:rsid w:val="002066D4"/>
    <w:rsid w:val="00207908"/>
    <w:rsid w:val="00207C88"/>
    <w:rsid w:val="00210674"/>
    <w:rsid w:val="002107FA"/>
    <w:rsid w:val="00210DE9"/>
    <w:rsid w:val="00211D9F"/>
    <w:rsid w:val="002123C7"/>
    <w:rsid w:val="002124EB"/>
    <w:rsid w:val="00212545"/>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38D1"/>
    <w:rsid w:val="00223E02"/>
    <w:rsid w:val="00223F67"/>
    <w:rsid w:val="002247A3"/>
    <w:rsid w:val="00225623"/>
    <w:rsid w:val="00225AF6"/>
    <w:rsid w:val="00225BD5"/>
    <w:rsid w:val="00226A9A"/>
    <w:rsid w:val="00226C2A"/>
    <w:rsid w:val="00226E3F"/>
    <w:rsid w:val="00226E63"/>
    <w:rsid w:val="002278BF"/>
    <w:rsid w:val="002279DB"/>
    <w:rsid w:val="00227B01"/>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6D94"/>
    <w:rsid w:val="002373FD"/>
    <w:rsid w:val="00237414"/>
    <w:rsid w:val="00237870"/>
    <w:rsid w:val="00240AEF"/>
    <w:rsid w:val="00240B53"/>
    <w:rsid w:val="00240C3D"/>
    <w:rsid w:val="002414DB"/>
    <w:rsid w:val="00241BBD"/>
    <w:rsid w:val="00242322"/>
    <w:rsid w:val="002424E5"/>
    <w:rsid w:val="002425D9"/>
    <w:rsid w:val="0024289A"/>
    <w:rsid w:val="002429EF"/>
    <w:rsid w:val="00242EBC"/>
    <w:rsid w:val="00243823"/>
    <w:rsid w:val="00243C86"/>
    <w:rsid w:val="00243F04"/>
    <w:rsid w:val="00244070"/>
    <w:rsid w:val="002444AE"/>
    <w:rsid w:val="00245210"/>
    <w:rsid w:val="002463D0"/>
    <w:rsid w:val="002464ED"/>
    <w:rsid w:val="00246617"/>
    <w:rsid w:val="00246869"/>
    <w:rsid w:val="00246944"/>
    <w:rsid w:val="00246AB3"/>
    <w:rsid w:val="00246E70"/>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0A31"/>
    <w:rsid w:val="002614C2"/>
    <w:rsid w:val="002616F4"/>
    <w:rsid w:val="00261DCD"/>
    <w:rsid w:val="00261EE8"/>
    <w:rsid w:val="00262047"/>
    <w:rsid w:val="002621F0"/>
    <w:rsid w:val="0026269E"/>
    <w:rsid w:val="00262F79"/>
    <w:rsid w:val="00263147"/>
    <w:rsid w:val="0026315D"/>
    <w:rsid w:val="00263355"/>
    <w:rsid w:val="00264083"/>
    <w:rsid w:val="0026469B"/>
    <w:rsid w:val="002648BB"/>
    <w:rsid w:val="00264C6B"/>
    <w:rsid w:val="00264CAF"/>
    <w:rsid w:val="00264F40"/>
    <w:rsid w:val="002650B2"/>
    <w:rsid w:val="00265A6A"/>
    <w:rsid w:val="002666AC"/>
    <w:rsid w:val="002667F2"/>
    <w:rsid w:val="00266C25"/>
    <w:rsid w:val="00266EDE"/>
    <w:rsid w:val="002673A0"/>
    <w:rsid w:val="002673B2"/>
    <w:rsid w:val="0026780C"/>
    <w:rsid w:val="00267A0F"/>
    <w:rsid w:val="00267B49"/>
    <w:rsid w:val="00267F4C"/>
    <w:rsid w:val="002700FC"/>
    <w:rsid w:val="00270564"/>
    <w:rsid w:val="00270641"/>
    <w:rsid w:val="002708C7"/>
    <w:rsid w:val="00270AE7"/>
    <w:rsid w:val="00270C18"/>
    <w:rsid w:val="002714A1"/>
    <w:rsid w:val="002715C0"/>
    <w:rsid w:val="00271D1E"/>
    <w:rsid w:val="00271ED4"/>
    <w:rsid w:val="002724A1"/>
    <w:rsid w:val="0027256C"/>
    <w:rsid w:val="00272BA5"/>
    <w:rsid w:val="00272F3A"/>
    <w:rsid w:val="00273148"/>
    <w:rsid w:val="00273507"/>
    <w:rsid w:val="00273C4B"/>
    <w:rsid w:val="00273E78"/>
    <w:rsid w:val="00274788"/>
    <w:rsid w:val="00274A10"/>
    <w:rsid w:val="00274B95"/>
    <w:rsid w:val="00274D70"/>
    <w:rsid w:val="00275241"/>
    <w:rsid w:val="00276045"/>
    <w:rsid w:val="00276392"/>
    <w:rsid w:val="00276D62"/>
    <w:rsid w:val="00276DFF"/>
    <w:rsid w:val="00277270"/>
    <w:rsid w:val="002801D5"/>
    <w:rsid w:val="00281283"/>
    <w:rsid w:val="0028129C"/>
    <w:rsid w:val="00281355"/>
    <w:rsid w:val="00281756"/>
    <w:rsid w:val="0028264D"/>
    <w:rsid w:val="00282999"/>
    <w:rsid w:val="00282AF5"/>
    <w:rsid w:val="0028387F"/>
    <w:rsid w:val="002845C3"/>
    <w:rsid w:val="00284B9F"/>
    <w:rsid w:val="00285549"/>
    <w:rsid w:val="00285621"/>
    <w:rsid w:val="00285C7A"/>
    <w:rsid w:val="002860A4"/>
    <w:rsid w:val="002872DF"/>
    <w:rsid w:val="002876BF"/>
    <w:rsid w:val="00290010"/>
    <w:rsid w:val="002907FF"/>
    <w:rsid w:val="00290B6A"/>
    <w:rsid w:val="0029112B"/>
    <w:rsid w:val="00291352"/>
    <w:rsid w:val="00291434"/>
    <w:rsid w:val="00292016"/>
    <w:rsid w:val="002922DD"/>
    <w:rsid w:val="002926A8"/>
    <w:rsid w:val="002939E1"/>
    <w:rsid w:val="00293B7C"/>
    <w:rsid w:val="00293C1A"/>
    <w:rsid w:val="00293C3A"/>
    <w:rsid w:val="00293F3D"/>
    <w:rsid w:val="002949A6"/>
    <w:rsid w:val="00294DE8"/>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1A24"/>
    <w:rsid w:val="002A21F8"/>
    <w:rsid w:val="002A2751"/>
    <w:rsid w:val="002A2FAC"/>
    <w:rsid w:val="002A300C"/>
    <w:rsid w:val="002A479E"/>
    <w:rsid w:val="002A4887"/>
    <w:rsid w:val="002A4993"/>
    <w:rsid w:val="002A51ED"/>
    <w:rsid w:val="002A5D90"/>
    <w:rsid w:val="002A5E9E"/>
    <w:rsid w:val="002A6473"/>
    <w:rsid w:val="002A66EA"/>
    <w:rsid w:val="002A6CC1"/>
    <w:rsid w:val="002A7514"/>
    <w:rsid w:val="002A7E40"/>
    <w:rsid w:val="002A7F0D"/>
    <w:rsid w:val="002B033B"/>
    <w:rsid w:val="002B0BF5"/>
    <w:rsid w:val="002B0F5A"/>
    <w:rsid w:val="002B0FCB"/>
    <w:rsid w:val="002B1695"/>
    <w:rsid w:val="002B1CE5"/>
    <w:rsid w:val="002B23D5"/>
    <w:rsid w:val="002B2441"/>
    <w:rsid w:val="002B2DC6"/>
    <w:rsid w:val="002B31F7"/>
    <w:rsid w:val="002B33E9"/>
    <w:rsid w:val="002B355E"/>
    <w:rsid w:val="002B393C"/>
    <w:rsid w:val="002B433C"/>
    <w:rsid w:val="002B437A"/>
    <w:rsid w:val="002B490E"/>
    <w:rsid w:val="002B4E5E"/>
    <w:rsid w:val="002B51D8"/>
    <w:rsid w:val="002B547E"/>
    <w:rsid w:val="002B59DB"/>
    <w:rsid w:val="002B5A01"/>
    <w:rsid w:val="002B5A58"/>
    <w:rsid w:val="002B7178"/>
    <w:rsid w:val="002B725C"/>
    <w:rsid w:val="002B7AB0"/>
    <w:rsid w:val="002B7BA9"/>
    <w:rsid w:val="002B7C26"/>
    <w:rsid w:val="002C0636"/>
    <w:rsid w:val="002C07CA"/>
    <w:rsid w:val="002C0941"/>
    <w:rsid w:val="002C0990"/>
    <w:rsid w:val="002C102E"/>
    <w:rsid w:val="002C10ED"/>
    <w:rsid w:val="002C1138"/>
    <w:rsid w:val="002C1C6B"/>
    <w:rsid w:val="002C26CB"/>
    <w:rsid w:val="002C278B"/>
    <w:rsid w:val="002C329C"/>
    <w:rsid w:val="002C3B54"/>
    <w:rsid w:val="002C435F"/>
    <w:rsid w:val="002C4490"/>
    <w:rsid w:val="002C47EF"/>
    <w:rsid w:val="002C50D3"/>
    <w:rsid w:val="002C54A0"/>
    <w:rsid w:val="002C58BF"/>
    <w:rsid w:val="002C6077"/>
    <w:rsid w:val="002C6903"/>
    <w:rsid w:val="002C6B21"/>
    <w:rsid w:val="002C705C"/>
    <w:rsid w:val="002C72DE"/>
    <w:rsid w:val="002C7B61"/>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0D4"/>
    <w:rsid w:val="002D41EC"/>
    <w:rsid w:val="002D4B0B"/>
    <w:rsid w:val="002D4D39"/>
    <w:rsid w:val="002D513A"/>
    <w:rsid w:val="002D5200"/>
    <w:rsid w:val="002D5889"/>
    <w:rsid w:val="002D5957"/>
    <w:rsid w:val="002D5F32"/>
    <w:rsid w:val="002D6230"/>
    <w:rsid w:val="002D6327"/>
    <w:rsid w:val="002D6A05"/>
    <w:rsid w:val="002D6AD8"/>
    <w:rsid w:val="002D6E3A"/>
    <w:rsid w:val="002D7103"/>
    <w:rsid w:val="002D753D"/>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758"/>
    <w:rsid w:val="002E7BE9"/>
    <w:rsid w:val="002E7BF2"/>
    <w:rsid w:val="002E7EA2"/>
    <w:rsid w:val="002F049D"/>
    <w:rsid w:val="002F0978"/>
    <w:rsid w:val="002F0A42"/>
    <w:rsid w:val="002F0DE1"/>
    <w:rsid w:val="002F125B"/>
    <w:rsid w:val="002F17BA"/>
    <w:rsid w:val="002F185A"/>
    <w:rsid w:val="002F18F9"/>
    <w:rsid w:val="002F1D89"/>
    <w:rsid w:val="002F2112"/>
    <w:rsid w:val="002F2C0F"/>
    <w:rsid w:val="002F2C11"/>
    <w:rsid w:val="002F37CB"/>
    <w:rsid w:val="002F3DB9"/>
    <w:rsid w:val="002F48D4"/>
    <w:rsid w:val="002F4965"/>
    <w:rsid w:val="002F4FB6"/>
    <w:rsid w:val="002F54C9"/>
    <w:rsid w:val="002F566B"/>
    <w:rsid w:val="002F583C"/>
    <w:rsid w:val="002F596A"/>
    <w:rsid w:val="002F5FEC"/>
    <w:rsid w:val="002F71FD"/>
    <w:rsid w:val="002F7255"/>
    <w:rsid w:val="002F7782"/>
    <w:rsid w:val="002F7C26"/>
    <w:rsid w:val="002F7D3A"/>
    <w:rsid w:val="002F7D57"/>
    <w:rsid w:val="00300222"/>
    <w:rsid w:val="00300574"/>
    <w:rsid w:val="003008CC"/>
    <w:rsid w:val="00300AE4"/>
    <w:rsid w:val="0030181B"/>
    <w:rsid w:val="00301A6A"/>
    <w:rsid w:val="00301D6D"/>
    <w:rsid w:val="00301F5D"/>
    <w:rsid w:val="003024D4"/>
    <w:rsid w:val="003029C5"/>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1971"/>
    <w:rsid w:val="0031235D"/>
    <w:rsid w:val="00312446"/>
    <w:rsid w:val="003125B6"/>
    <w:rsid w:val="00312853"/>
    <w:rsid w:val="00312855"/>
    <w:rsid w:val="00312993"/>
    <w:rsid w:val="00312D5E"/>
    <w:rsid w:val="0031349B"/>
    <w:rsid w:val="0031374E"/>
    <w:rsid w:val="00313A56"/>
    <w:rsid w:val="003141D5"/>
    <w:rsid w:val="0031454E"/>
    <w:rsid w:val="003147A0"/>
    <w:rsid w:val="003148FD"/>
    <w:rsid w:val="0031495A"/>
    <w:rsid w:val="0031501D"/>
    <w:rsid w:val="00315A61"/>
    <w:rsid w:val="00315BE0"/>
    <w:rsid w:val="00315C16"/>
    <w:rsid w:val="00315D82"/>
    <w:rsid w:val="00315DAC"/>
    <w:rsid w:val="00316666"/>
    <w:rsid w:val="003167E8"/>
    <w:rsid w:val="0031716E"/>
    <w:rsid w:val="00317B53"/>
    <w:rsid w:val="00320255"/>
    <w:rsid w:val="0032146D"/>
    <w:rsid w:val="00321492"/>
    <w:rsid w:val="003218F9"/>
    <w:rsid w:val="0032221A"/>
    <w:rsid w:val="00322EB9"/>
    <w:rsid w:val="0032304C"/>
    <w:rsid w:val="00323173"/>
    <w:rsid w:val="003237A4"/>
    <w:rsid w:val="00323910"/>
    <w:rsid w:val="00323BE3"/>
    <w:rsid w:val="00323E61"/>
    <w:rsid w:val="00324109"/>
    <w:rsid w:val="003249EE"/>
    <w:rsid w:val="00324A6C"/>
    <w:rsid w:val="00324AEF"/>
    <w:rsid w:val="00325130"/>
    <w:rsid w:val="003258CA"/>
    <w:rsid w:val="003259E2"/>
    <w:rsid w:val="00325BAE"/>
    <w:rsid w:val="00326388"/>
    <w:rsid w:val="00327922"/>
    <w:rsid w:val="00327E5C"/>
    <w:rsid w:val="003302F4"/>
    <w:rsid w:val="003307C3"/>
    <w:rsid w:val="003308CE"/>
    <w:rsid w:val="00331502"/>
    <w:rsid w:val="00331631"/>
    <w:rsid w:val="00331E0D"/>
    <w:rsid w:val="0033254C"/>
    <w:rsid w:val="00332A7B"/>
    <w:rsid w:val="003336BD"/>
    <w:rsid w:val="003336CC"/>
    <w:rsid w:val="00333A42"/>
    <w:rsid w:val="00334BC5"/>
    <w:rsid w:val="00334CE2"/>
    <w:rsid w:val="00334EC0"/>
    <w:rsid w:val="003352A4"/>
    <w:rsid w:val="0033533A"/>
    <w:rsid w:val="00335B43"/>
    <w:rsid w:val="00336BDC"/>
    <w:rsid w:val="00336D7F"/>
    <w:rsid w:val="00336F5F"/>
    <w:rsid w:val="00337895"/>
    <w:rsid w:val="00337969"/>
    <w:rsid w:val="00337BC5"/>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56A"/>
    <w:rsid w:val="003439F9"/>
    <w:rsid w:val="00343A07"/>
    <w:rsid w:val="003445FC"/>
    <w:rsid w:val="00344655"/>
    <w:rsid w:val="00344841"/>
    <w:rsid w:val="0034496C"/>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0DF0"/>
    <w:rsid w:val="00350EC4"/>
    <w:rsid w:val="00351AEE"/>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29B"/>
    <w:rsid w:val="00357544"/>
    <w:rsid w:val="00357A41"/>
    <w:rsid w:val="00357A5C"/>
    <w:rsid w:val="00357E91"/>
    <w:rsid w:val="00360533"/>
    <w:rsid w:val="00360A39"/>
    <w:rsid w:val="00361927"/>
    <w:rsid w:val="00361DCD"/>
    <w:rsid w:val="00361E83"/>
    <w:rsid w:val="0036217E"/>
    <w:rsid w:val="00363673"/>
    <w:rsid w:val="00363E97"/>
    <w:rsid w:val="00364C93"/>
    <w:rsid w:val="003654E3"/>
    <w:rsid w:val="0036615F"/>
    <w:rsid w:val="00367107"/>
    <w:rsid w:val="00367765"/>
    <w:rsid w:val="00367FCB"/>
    <w:rsid w:val="00370388"/>
    <w:rsid w:val="003703EC"/>
    <w:rsid w:val="0037082D"/>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B25"/>
    <w:rsid w:val="00375DA8"/>
    <w:rsid w:val="00375DE3"/>
    <w:rsid w:val="00376101"/>
    <w:rsid w:val="00376DFD"/>
    <w:rsid w:val="00376F28"/>
    <w:rsid w:val="00377378"/>
    <w:rsid w:val="00377EB0"/>
    <w:rsid w:val="00377FA2"/>
    <w:rsid w:val="00380389"/>
    <w:rsid w:val="00380856"/>
    <w:rsid w:val="00381138"/>
    <w:rsid w:val="00381A3C"/>
    <w:rsid w:val="00381D65"/>
    <w:rsid w:val="003820C9"/>
    <w:rsid w:val="00382284"/>
    <w:rsid w:val="00382A5D"/>
    <w:rsid w:val="00382D2C"/>
    <w:rsid w:val="003831D5"/>
    <w:rsid w:val="00383C54"/>
    <w:rsid w:val="003843DE"/>
    <w:rsid w:val="00384CBF"/>
    <w:rsid w:val="003850C5"/>
    <w:rsid w:val="0038521B"/>
    <w:rsid w:val="00385445"/>
    <w:rsid w:val="00385581"/>
    <w:rsid w:val="00385609"/>
    <w:rsid w:val="00385833"/>
    <w:rsid w:val="00385EC6"/>
    <w:rsid w:val="00386505"/>
    <w:rsid w:val="00386AEA"/>
    <w:rsid w:val="00386D65"/>
    <w:rsid w:val="00386D7D"/>
    <w:rsid w:val="00387224"/>
    <w:rsid w:val="0038756A"/>
    <w:rsid w:val="00387880"/>
    <w:rsid w:val="003878DD"/>
    <w:rsid w:val="00387C75"/>
    <w:rsid w:val="0039030E"/>
    <w:rsid w:val="00390755"/>
    <w:rsid w:val="00390C25"/>
    <w:rsid w:val="00391182"/>
    <w:rsid w:val="00392626"/>
    <w:rsid w:val="0039269B"/>
    <w:rsid w:val="0039281A"/>
    <w:rsid w:val="00392A93"/>
    <w:rsid w:val="00392AD4"/>
    <w:rsid w:val="003938BC"/>
    <w:rsid w:val="00393ADA"/>
    <w:rsid w:val="00394453"/>
    <w:rsid w:val="00394630"/>
    <w:rsid w:val="00395C29"/>
    <w:rsid w:val="003961E4"/>
    <w:rsid w:val="00396876"/>
    <w:rsid w:val="003968EC"/>
    <w:rsid w:val="00396CDF"/>
    <w:rsid w:val="00397804"/>
    <w:rsid w:val="003A012F"/>
    <w:rsid w:val="003A0A56"/>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6D5B"/>
    <w:rsid w:val="003A772D"/>
    <w:rsid w:val="003A79E6"/>
    <w:rsid w:val="003A7E73"/>
    <w:rsid w:val="003B02D5"/>
    <w:rsid w:val="003B0742"/>
    <w:rsid w:val="003B0C8C"/>
    <w:rsid w:val="003B141D"/>
    <w:rsid w:val="003B16B1"/>
    <w:rsid w:val="003B1AB0"/>
    <w:rsid w:val="003B2327"/>
    <w:rsid w:val="003B246A"/>
    <w:rsid w:val="003B2A3B"/>
    <w:rsid w:val="003B2A50"/>
    <w:rsid w:val="003B2C7F"/>
    <w:rsid w:val="003B2EFC"/>
    <w:rsid w:val="003B316D"/>
    <w:rsid w:val="003B3E39"/>
    <w:rsid w:val="003B46E0"/>
    <w:rsid w:val="003B4856"/>
    <w:rsid w:val="003B5366"/>
    <w:rsid w:val="003B5CE7"/>
    <w:rsid w:val="003B5EB8"/>
    <w:rsid w:val="003B6674"/>
    <w:rsid w:val="003B6DD3"/>
    <w:rsid w:val="003B7869"/>
    <w:rsid w:val="003B79DF"/>
    <w:rsid w:val="003B7FBF"/>
    <w:rsid w:val="003C08E6"/>
    <w:rsid w:val="003C09FE"/>
    <w:rsid w:val="003C1188"/>
    <w:rsid w:val="003C1475"/>
    <w:rsid w:val="003C1507"/>
    <w:rsid w:val="003C1C0B"/>
    <w:rsid w:val="003C1ED3"/>
    <w:rsid w:val="003C2087"/>
    <w:rsid w:val="003C20A5"/>
    <w:rsid w:val="003C27AB"/>
    <w:rsid w:val="003C2EA4"/>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EB1"/>
    <w:rsid w:val="003D21F8"/>
    <w:rsid w:val="003D336B"/>
    <w:rsid w:val="003D3543"/>
    <w:rsid w:val="003D3650"/>
    <w:rsid w:val="003D368D"/>
    <w:rsid w:val="003D3882"/>
    <w:rsid w:val="003D43F0"/>
    <w:rsid w:val="003D46A0"/>
    <w:rsid w:val="003D499C"/>
    <w:rsid w:val="003D4C03"/>
    <w:rsid w:val="003D5109"/>
    <w:rsid w:val="003D53D8"/>
    <w:rsid w:val="003D5449"/>
    <w:rsid w:val="003D55AE"/>
    <w:rsid w:val="003D5877"/>
    <w:rsid w:val="003D5989"/>
    <w:rsid w:val="003D5FC7"/>
    <w:rsid w:val="003D6351"/>
    <w:rsid w:val="003D64C5"/>
    <w:rsid w:val="003D746D"/>
    <w:rsid w:val="003D7A58"/>
    <w:rsid w:val="003D7EB6"/>
    <w:rsid w:val="003E0015"/>
    <w:rsid w:val="003E0AD8"/>
    <w:rsid w:val="003E0ADC"/>
    <w:rsid w:val="003E221F"/>
    <w:rsid w:val="003E280B"/>
    <w:rsid w:val="003E2FAA"/>
    <w:rsid w:val="003E36C7"/>
    <w:rsid w:val="003E3B16"/>
    <w:rsid w:val="003E3B64"/>
    <w:rsid w:val="003E3CE1"/>
    <w:rsid w:val="003E3F0A"/>
    <w:rsid w:val="003E423A"/>
    <w:rsid w:val="003E490B"/>
    <w:rsid w:val="003E4D54"/>
    <w:rsid w:val="003E5300"/>
    <w:rsid w:val="003E5B32"/>
    <w:rsid w:val="003E6251"/>
    <w:rsid w:val="003E65D0"/>
    <w:rsid w:val="003E6688"/>
    <w:rsid w:val="003E6B51"/>
    <w:rsid w:val="003E6E57"/>
    <w:rsid w:val="003E72CA"/>
    <w:rsid w:val="003E7574"/>
    <w:rsid w:val="003F0590"/>
    <w:rsid w:val="003F082B"/>
    <w:rsid w:val="003F0ECE"/>
    <w:rsid w:val="003F12D0"/>
    <w:rsid w:val="003F2118"/>
    <w:rsid w:val="003F2627"/>
    <w:rsid w:val="003F3839"/>
    <w:rsid w:val="003F39DF"/>
    <w:rsid w:val="003F47FB"/>
    <w:rsid w:val="003F4810"/>
    <w:rsid w:val="003F4D4E"/>
    <w:rsid w:val="003F54B8"/>
    <w:rsid w:val="003F56E4"/>
    <w:rsid w:val="003F5BE6"/>
    <w:rsid w:val="003F5CCA"/>
    <w:rsid w:val="003F62B4"/>
    <w:rsid w:val="003F65C7"/>
    <w:rsid w:val="003F6D5F"/>
    <w:rsid w:val="003F77C9"/>
    <w:rsid w:val="003F77F7"/>
    <w:rsid w:val="003F7860"/>
    <w:rsid w:val="003F7883"/>
    <w:rsid w:val="003F7AB8"/>
    <w:rsid w:val="0040095D"/>
    <w:rsid w:val="00400B91"/>
    <w:rsid w:val="004014EC"/>
    <w:rsid w:val="00401A20"/>
    <w:rsid w:val="00401DA9"/>
    <w:rsid w:val="00401F09"/>
    <w:rsid w:val="00402BF6"/>
    <w:rsid w:val="00402F9E"/>
    <w:rsid w:val="00403BE4"/>
    <w:rsid w:val="004047EC"/>
    <w:rsid w:val="00405460"/>
    <w:rsid w:val="0040549D"/>
    <w:rsid w:val="004055CB"/>
    <w:rsid w:val="00405BB4"/>
    <w:rsid w:val="00406323"/>
    <w:rsid w:val="004063D6"/>
    <w:rsid w:val="004066F3"/>
    <w:rsid w:val="00406F20"/>
    <w:rsid w:val="00407210"/>
    <w:rsid w:val="004076B5"/>
    <w:rsid w:val="004078FD"/>
    <w:rsid w:val="00407969"/>
    <w:rsid w:val="00407FC2"/>
    <w:rsid w:val="004107B3"/>
    <w:rsid w:val="004116B5"/>
    <w:rsid w:val="00411C50"/>
    <w:rsid w:val="0041238A"/>
    <w:rsid w:val="00412562"/>
    <w:rsid w:val="004129B8"/>
    <w:rsid w:val="004129E7"/>
    <w:rsid w:val="004132D7"/>
    <w:rsid w:val="00413304"/>
    <w:rsid w:val="00413AF9"/>
    <w:rsid w:val="0041408E"/>
    <w:rsid w:val="0041485A"/>
    <w:rsid w:val="00415602"/>
    <w:rsid w:val="00415C17"/>
    <w:rsid w:val="00415D3B"/>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9FD"/>
    <w:rsid w:val="00422B30"/>
    <w:rsid w:val="00422EAF"/>
    <w:rsid w:val="00422F22"/>
    <w:rsid w:val="00423063"/>
    <w:rsid w:val="00424197"/>
    <w:rsid w:val="00424CE5"/>
    <w:rsid w:val="0042590E"/>
    <w:rsid w:val="00425926"/>
    <w:rsid w:val="0042594C"/>
    <w:rsid w:val="004261E2"/>
    <w:rsid w:val="004262AB"/>
    <w:rsid w:val="00426CF2"/>
    <w:rsid w:val="00427564"/>
    <w:rsid w:val="00427600"/>
    <w:rsid w:val="00427FCB"/>
    <w:rsid w:val="00430152"/>
    <w:rsid w:val="00431069"/>
    <w:rsid w:val="00431814"/>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00F"/>
    <w:rsid w:val="004370B8"/>
    <w:rsid w:val="00437190"/>
    <w:rsid w:val="004372FD"/>
    <w:rsid w:val="004379D5"/>
    <w:rsid w:val="00437A60"/>
    <w:rsid w:val="00437DF1"/>
    <w:rsid w:val="00440248"/>
    <w:rsid w:val="00440B98"/>
    <w:rsid w:val="004413E5"/>
    <w:rsid w:val="00441C09"/>
    <w:rsid w:val="0044204C"/>
    <w:rsid w:val="00442489"/>
    <w:rsid w:val="00442D1B"/>
    <w:rsid w:val="004432B0"/>
    <w:rsid w:val="004434D9"/>
    <w:rsid w:val="0044354C"/>
    <w:rsid w:val="0044460E"/>
    <w:rsid w:val="00444A06"/>
    <w:rsid w:val="00445325"/>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12DD"/>
    <w:rsid w:val="00451300"/>
    <w:rsid w:val="004515AF"/>
    <w:rsid w:val="0045173D"/>
    <w:rsid w:val="00451A00"/>
    <w:rsid w:val="00451ABF"/>
    <w:rsid w:val="004530D2"/>
    <w:rsid w:val="0045315C"/>
    <w:rsid w:val="00453478"/>
    <w:rsid w:val="00454522"/>
    <w:rsid w:val="00454582"/>
    <w:rsid w:val="00454744"/>
    <w:rsid w:val="004554C0"/>
    <w:rsid w:val="0045611C"/>
    <w:rsid w:val="00457392"/>
    <w:rsid w:val="004576A1"/>
    <w:rsid w:val="00457B9D"/>
    <w:rsid w:val="004604C1"/>
    <w:rsid w:val="0046059A"/>
    <w:rsid w:val="00460AD3"/>
    <w:rsid w:val="00460D48"/>
    <w:rsid w:val="00461D73"/>
    <w:rsid w:val="00461DE2"/>
    <w:rsid w:val="00461EBD"/>
    <w:rsid w:val="004625D8"/>
    <w:rsid w:val="004629FF"/>
    <w:rsid w:val="00462C92"/>
    <w:rsid w:val="00462D0F"/>
    <w:rsid w:val="004631AC"/>
    <w:rsid w:val="004631B1"/>
    <w:rsid w:val="0046331A"/>
    <w:rsid w:val="00464085"/>
    <w:rsid w:val="00464B0B"/>
    <w:rsid w:val="00465D24"/>
    <w:rsid w:val="00465EF2"/>
    <w:rsid w:val="00466468"/>
    <w:rsid w:val="00466EEB"/>
    <w:rsid w:val="00467571"/>
    <w:rsid w:val="004676D2"/>
    <w:rsid w:val="0047038D"/>
    <w:rsid w:val="004703D8"/>
    <w:rsid w:val="004705F5"/>
    <w:rsid w:val="00470889"/>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BEE"/>
    <w:rsid w:val="00477EE0"/>
    <w:rsid w:val="0048016F"/>
    <w:rsid w:val="00480371"/>
    <w:rsid w:val="00480560"/>
    <w:rsid w:val="00480A2C"/>
    <w:rsid w:val="0048128D"/>
    <w:rsid w:val="00481B60"/>
    <w:rsid w:val="00482055"/>
    <w:rsid w:val="00482303"/>
    <w:rsid w:val="00482D44"/>
    <w:rsid w:val="004832C7"/>
    <w:rsid w:val="004837D0"/>
    <w:rsid w:val="00484AEE"/>
    <w:rsid w:val="00484CC7"/>
    <w:rsid w:val="004855B3"/>
    <w:rsid w:val="00485F78"/>
    <w:rsid w:val="0048668F"/>
    <w:rsid w:val="00486C8E"/>
    <w:rsid w:val="00486E1F"/>
    <w:rsid w:val="004871B4"/>
    <w:rsid w:val="004872B7"/>
    <w:rsid w:val="00490A8E"/>
    <w:rsid w:val="00490F59"/>
    <w:rsid w:val="00491AAD"/>
    <w:rsid w:val="00491BAA"/>
    <w:rsid w:val="00491BCF"/>
    <w:rsid w:val="004928AB"/>
    <w:rsid w:val="00492C43"/>
    <w:rsid w:val="00493280"/>
    <w:rsid w:val="00493434"/>
    <w:rsid w:val="0049386D"/>
    <w:rsid w:val="004938C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68DA"/>
    <w:rsid w:val="00497829"/>
    <w:rsid w:val="00497923"/>
    <w:rsid w:val="004979C5"/>
    <w:rsid w:val="00497AF0"/>
    <w:rsid w:val="00497C45"/>
    <w:rsid w:val="00497FED"/>
    <w:rsid w:val="004A009F"/>
    <w:rsid w:val="004A041C"/>
    <w:rsid w:val="004A071D"/>
    <w:rsid w:val="004A0CDF"/>
    <w:rsid w:val="004A0FFB"/>
    <w:rsid w:val="004A1286"/>
    <w:rsid w:val="004A1932"/>
    <w:rsid w:val="004A1B6B"/>
    <w:rsid w:val="004A1D75"/>
    <w:rsid w:val="004A253B"/>
    <w:rsid w:val="004A382D"/>
    <w:rsid w:val="004A436F"/>
    <w:rsid w:val="004A4693"/>
    <w:rsid w:val="004A4AF8"/>
    <w:rsid w:val="004A4D62"/>
    <w:rsid w:val="004A526D"/>
    <w:rsid w:val="004A5FBF"/>
    <w:rsid w:val="004A63DA"/>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A05"/>
    <w:rsid w:val="004B2B00"/>
    <w:rsid w:val="004B2B6C"/>
    <w:rsid w:val="004B3191"/>
    <w:rsid w:val="004B31E4"/>
    <w:rsid w:val="004B37DC"/>
    <w:rsid w:val="004B42E7"/>
    <w:rsid w:val="004B4911"/>
    <w:rsid w:val="004B53F7"/>
    <w:rsid w:val="004B5E03"/>
    <w:rsid w:val="004B5F60"/>
    <w:rsid w:val="004B5FA6"/>
    <w:rsid w:val="004B60F3"/>
    <w:rsid w:val="004B660B"/>
    <w:rsid w:val="004B69D6"/>
    <w:rsid w:val="004B6EFC"/>
    <w:rsid w:val="004B706A"/>
    <w:rsid w:val="004B75CA"/>
    <w:rsid w:val="004B7A21"/>
    <w:rsid w:val="004C01FF"/>
    <w:rsid w:val="004C06C4"/>
    <w:rsid w:val="004C07BB"/>
    <w:rsid w:val="004C07FE"/>
    <w:rsid w:val="004C0E96"/>
    <w:rsid w:val="004C0F5B"/>
    <w:rsid w:val="004C1A0C"/>
    <w:rsid w:val="004C1ADC"/>
    <w:rsid w:val="004C2091"/>
    <w:rsid w:val="004C24D1"/>
    <w:rsid w:val="004C3627"/>
    <w:rsid w:val="004C3740"/>
    <w:rsid w:val="004C3C3E"/>
    <w:rsid w:val="004C3CBF"/>
    <w:rsid w:val="004C464C"/>
    <w:rsid w:val="004C4732"/>
    <w:rsid w:val="004C5C7E"/>
    <w:rsid w:val="004C5DD6"/>
    <w:rsid w:val="004C6F98"/>
    <w:rsid w:val="004C7581"/>
    <w:rsid w:val="004C7A35"/>
    <w:rsid w:val="004D053B"/>
    <w:rsid w:val="004D0961"/>
    <w:rsid w:val="004D0BBE"/>
    <w:rsid w:val="004D0BCD"/>
    <w:rsid w:val="004D1299"/>
    <w:rsid w:val="004D1853"/>
    <w:rsid w:val="004D29E6"/>
    <w:rsid w:val="004D3524"/>
    <w:rsid w:val="004D357C"/>
    <w:rsid w:val="004D35AD"/>
    <w:rsid w:val="004D3722"/>
    <w:rsid w:val="004D3900"/>
    <w:rsid w:val="004D3952"/>
    <w:rsid w:val="004D398A"/>
    <w:rsid w:val="004D3F90"/>
    <w:rsid w:val="004D4448"/>
    <w:rsid w:val="004D4459"/>
    <w:rsid w:val="004D4633"/>
    <w:rsid w:val="004D464B"/>
    <w:rsid w:val="004D4A1F"/>
    <w:rsid w:val="004D4B78"/>
    <w:rsid w:val="004D4D7D"/>
    <w:rsid w:val="004D4F26"/>
    <w:rsid w:val="004D5AFD"/>
    <w:rsid w:val="004D5EF6"/>
    <w:rsid w:val="004D6A39"/>
    <w:rsid w:val="004E02F7"/>
    <w:rsid w:val="004E07D8"/>
    <w:rsid w:val="004E0EC5"/>
    <w:rsid w:val="004E1002"/>
    <w:rsid w:val="004E1319"/>
    <w:rsid w:val="004E134C"/>
    <w:rsid w:val="004E13FD"/>
    <w:rsid w:val="004E1723"/>
    <w:rsid w:val="004E17D3"/>
    <w:rsid w:val="004E1975"/>
    <w:rsid w:val="004E1A9F"/>
    <w:rsid w:val="004E1E85"/>
    <w:rsid w:val="004E235A"/>
    <w:rsid w:val="004E24D2"/>
    <w:rsid w:val="004E2E67"/>
    <w:rsid w:val="004E315B"/>
    <w:rsid w:val="004E3568"/>
    <w:rsid w:val="004E38EF"/>
    <w:rsid w:val="004E394E"/>
    <w:rsid w:val="004E49C6"/>
    <w:rsid w:val="004E4BDD"/>
    <w:rsid w:val="004E4FDD"/>
    <w:rsid w:val="004E52AF"/>
    <w:rsid w:val="004E52D8"/>
    <w:rsid w:val="004E532C"/>
    <w:rsid w:val="004E5C3A"/>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670"/>
    <w:rsid w:val="005009BE"/>
    <w:rsid w:val="005016A4"/>
    <w:rsid w:val="00501A39"/>
    <w:rsid w:val="0050204D"/>
    <w:rsid w:val="00502663"/>
    <w:rsid w:val="00502829"/>
    <w:rsid w:val="00502CEF"/>
    <w:rsid w:val="005034C5"/>
    <w:rsid w:val="00503D6D"/>
    <w:rsid w:val="00503E00"/>
    <w:rsid w:val="00503EF7"/>
    <w:rsid w:val="0050412F"/>
    <w:rsid w:val="0050499F"/>
    <w:rsid w:val="00504D09"/>
    <w:rsid w:val="00505019"/>
    <w:rsid w:val="0050506C"/>
    <w:rsid w:val="005055AC"/>
    <w:rsid w:val="005055B6"/>
    <w:rsid w:val="00505AA9"/>
    <w:rsid w:val="00505BA8"/>
    <w:rsid w:val="00505C32"/>
    <w:rsid w:val="00505F81"/>
    <w:rsid w:val="00506343"/>
    <w:rsid w:val="005075BB"/>
    <w:rsid w:val="0050794C"/>
    <w:rsid w:val="00507EE2"/>
    <w:rsid w:val="00510061"/>
    <w:rsid w:val="0051137F"/>
    <w:rsid w:val="005115D6"/>
    <w:rsid w:val="0051169B"/>
    <w:rsid w:val="005121A0"/>
    <w:rsid w:val="0051222A"/>
    <w:rsid w:val="0051243B"/>
    <w:rsid w:val="00512A70"/>
    <w:rsid w:val="00512AC1"/>
    <w:rsid w:val="00512D48"/>
    <w:rsid w:val="0051300E"/>
    <w:rsid w:val="00513CEF"/>
    <w:rsid w:val="0051449C"/>
    <w:rsid w:val="005145F3"/>
    <w:rsid w:val="00514A0C"/>
    <w:rsid w:val="00514CCC"/>
    <w:rsid w:val="00514EB8"/>
    <w:rsid w:val="00515877"/>
    <w:rsid w:val="00515AB6"/>
    <w:rsid w:val="0051673C"/>
    <w:rsid w:val="005169BB"/>
    <w:rsid w:val="00517029"/>
    <w:rsid w:val="0051733D"/>
    <w:rsid w:val="0051787B"/>
    <w:rsid w:val="00517F5C"/>
    <w:rsid w:val="0052014E"/>
    <w:rsid w:val="00520198"/>
    <w:rsid w:val="00520CB1"/>
    <w:rsid w:val="00521BC1"/>
    <w:rsid w:val="00521D36"/>
    <w:rsid w:val="00521FC4"/>
    <w:rsid w:val="005231ED"/>
    <w:rsid w:val="005237A5"/>
    <w:rsid w:val="005239A0"/>
    <w:rsid w:val="00523C20"/>
    <w:rsid w:val="00523E1B"/>
    <w:rsid w:val="005246D9"/>
    <w:rsid w:val="0052485D"/>
    <w:rsid w:val="005249DA"/>
    <w:rsid w:val="00524CB1"/>
    <w:rsid w:val="0052539D"/>
    <w:rsid w:val="00525461"/>
    <w:rsid w:val="005258B9"/>
    <w:rsid w:val="005263E4"/>
    <w:rsid w:val="00526709"/>
    <w:rsid w:val="005271C8"/>
    <w:rsid w:val="0052741C"/>
    <w:rsid w:val="00527551"/>
    <w:rsid w:val="0052763F"/>
    <w:rsid w:val="00527782"/>
    <w:rsid w:val="005277FE"/>
    <w:rsid w:val="00527CCA"/>
    <w:rsid w:val="00527CF1"/>
    <w:rsid w:val="00527F4C"/>
    <w:rsid w:val="005300A5"/>
    <w:rsid w:val="00530BA6"/>
    <w:rsid w:val="005314A7"/>
    <w:rsid w:val="0053157C"/>
    <w:rsid w:val="0053158A"/>
    <w:rsid w:val="0053164A"/>
    <w:rsid w:val="00531905"/>
    <w:rsid w:val="00531937"/>
    <w:rsid w:val="00531999"/>
    <w:rsid w:val="00531C2B"/>
    <w:rsid w:val="00531ECB"/>
    <w:rsid w:val="00532474"/>
    <w:rsid w:val="00532607"/>
    <w:rsid w:val="00532ABC"/>
    <w:rsid w:val="00532C20"/>
    <w:rsid w:val="00533EB1"/>
    <w:rsid w:val="0053420F"/>
    <w:rsid w:val="005342F6"/>
    <w:rsid w:val="005344A6"/>
    <w:rsid w:val="00534502"/>
    <w:rsid w:val="005349D3"/>
    <w:rsid w:val="00534DAA"/>
    <w:rsid w:val="00535B27"/>
    <w:rsid w:val="00535BC3"/>
    <w:rsid w:val="0053651E"/>
    <w:rsid w:val="00536A4C"/>
    <w:rsid w:val="00536D6D"/>
    <w:rsid w:val="005370B6"/>
    <w:rsid w:val="00537AF1"/>
    <w:rsid w:val="00537C6A"/>
    <w:rsid w:val="00537F99"/>
    <w:rsid w:val="00540443"/>
    <w:rsid w:val="00541179"/>
    <w:rsid w:val="005414C9"/>
    <w:rsid w:val="005415EE"/>
    <w:rsid w:val="0054163B"/>
    <w:rsid w:val="0054175E"/>
    <w:rsid w:val="005419CB"/>
    <w:rsid w:val="00542076"/>
    <w:rsid w:val="0054254B"/>
    <w:rsid w:val="00543988"/>
    <w:rsid w:val="00544064"/>
    <w:rsid w:val="00544241"/>
    <w:rsid w:val="0054462D"/>
    <w:rsid w:val="00544B1C"/>
    <w:rsid w:val="00544CBC"/>
    <w:rsid w:val="00545BF0"/>
    <w:rsid w:val="00546014"/>
    <w:rsid w:val="0054613F"/>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7FE"/>
    <w:rsid w:val="0055105C"/>
    <w:rsid w:val="005518F2"/>
    <w:rsid w:val="00552250"/>
    <w:rsid w:val="005523C8"/>
    <w:rsid w:val="005526CB"/>
    <w:rsid w:val="005529E5"/>
    <w:rsid w:val="00552A7B"/>
    <w:rsid w:val="00553360"/>
    <w:rsid w:val="00553601"/>
    <w:rsid w:val="00553710"/>
    <w:rsid w:val="00553DCC"/>
    <w:rsid w:val="00553FB8"/>
    <w:rsid w:val="00554347"/>
    <w:rsid w:val="0055469B"/>
    <w:rsid w:val="0055478C"/>
    <w:rsid w:val="00554B22"/>
    <w:rsid w:val="00554D35"/>
    <w:rsid w:val="00554FEB"/>
    <w:rsid w:val="005550E8"/>
    <w:rsid w:val="00555241"/>
    <w:rsid w:val="005553BC"/>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292E"/>
    <w:rsid w:val="005633E1"/>
    <w:rsid w:val="0056385D"/>
    <w:rsid w:val="00563B43"/>
    <w:rsid w:val="00564569"/>
    <w:rsid w:val="00564D58"/>
    <w:rsid w:val="00565452"/>
    <w:rsid w:val="0056579B"/>
    <w:rsid w:val="00565959"/>
    <w:rsid w:val="00565A7E"/>
    <w:rsid w:val="00565B7E"/>
    <w:rsid w:val="0056748C"/>
    <w:rsid w:val="005679D7"/>
    <w:rsid w:val="00567FC3"/>
    <w:rsid w:val="00570114"/>
    <w:rsid w:val="005704DC"/>
    <w:rsid w:val="00570B18"/>
    <w:rsid w:val="00570D8C"/>
    <w:rsid w:val="0057152D"/>
    <w:rsid w:val="00571552"/>
    <w:rsid w:val="005729C6"/>
    <w:rsid w:val="00572AC6"/>
    <w:rsid w:val="005734D7"/>
    <w:rsid w:val="005736E9"/>
    <w:rsid w:val="0057430E"/>
    <w:rsid w:val="0057491D"/>
    <w:rsid w:val="00574B39"/>
    <w:rsid w:val="00575610"/>
    <w:rsid w:val="00575C1F"/>
    <w:rsid w:val="00575CDC"/>
    <w:rsid w:val="005769BC"/>
    <w:rsid w:val="005772D2"/>
    <w:rsid w:val="00577356"/>
    <w:rsid w:val="00577521"/>
    <w:rsid w:val="00577910"/>
    <w:rsid w:val="00577C63"/>
    <w:rsid w:val="00577D69"/>
    <w:rsid w:val="00577D81"/>
    <w:rsid w:val="0058020E"/>
    <w:rsid w:val="005808C6"/>
    <w:rsid w:val="00580B40"/>
    <w:rsid w:val="00580FC6"/>
    <w:rsid w:val="0058130D"/>
    <w:rsid w:val="00581DFF"/>
    <w:rsid w:val="00582731"/>
    <w:rsid w:val="00582F75"/>
    <w:rsid w:val="00583173"/>
    <w:rsid w:val="005838D4"/>
    <w:rsid w:val="00583DFD"/>
    <w:rsid w:val="00583E5E"/>
    <w:rsid w:val="00583F89"/>
    <w:rsid w:val="0058403F"/>
    <w:rsid w:val="005840FC"/>
    <w:rsid w:val="005845D3"/>
    <w:rsid w:val="00584BF1"/>
    <w:rsid w:val="0058516F"/>
    <w:rsid w:val="0058566C"/>
    <w:rsid w:val="005858B1"/>
    <w:rsid w:val="0058678B"/>
    <w:rsid w:val="00586ADE"/>
    <w:rsid w:val="0058709F"/>
    <w:rsid w:val="00587A8E"/>
    <w:rsid w:val="00587EAC"/>
    <w:rsid w:val="00591579"/>
    <w:rsid w:val="005921F9"/>
    <w:rsid w:val="0059237B"/>
    <w:rsid w:val="005928FD"/>
    <w:rsid w:val="00592F41"/>
    <w:rsid w:val="00593414"/>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160"/>
    <w:rsid w:val="005A354C"/>
    <w:rsid w:val="005A3C03"/>
    <w:rsid w:val="005A3DEB"/>
    <w:rsid w:val="005A3F33"/>
    <w:rsid w:val="005A4037"/>
    <w:rsid w:val="005A5A04"/>
    <w:rsid w:val="005A5E69"/>
    <w:rsid w:val="005A6765"/>
    <w:rsid w:val="005A6DA7"/>
    <w:rsid w:val="005A709A"/>
    <w:rsid w:val="005A72FB"/>
    <w:rsid w:val="005A7507"/>
    <w:rsid w:val="005A7965"/>
    <w:rsid w:val="005B05B4"/>
    <w:rsid w:val="005B078A"/>
    <w:rsid w:val="005B0856"/>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327"/>
    <w:rsid w:val="005B5770"/>
    <w:rsid w:val="005B5B64"/>
    <w:rsid w:val="005B5D09"/>
    <w:rsid w:val="005B6439"/>
    <w:rsid w:val="005B6F71"/>
    <w:rsid w:val="005B7DA4"/>
    <w:rsid w:val="005B7E13"/>
    <w:rsid w:val="005C0507"/>
    <w:rsid w:val="005C0E0E"/>
    <w:rsid w:val="005C0FF5"/>
    <w:rsid w:val="005C11A9"/>
    <w:rsid w:val="005C1D65"/>
    <w:rsid w:val="005C2237"/>
    <w:rsid w:val="005C2E5A"/>
    <w:rsid w:val="005C352A"/>
    <w:rsid w:val="005C3B88"/>
    <w:rsid w:val="005C3DB7"/>
    <w:rsid w:val="005C3F7C"/>
    <w:rsid w:val="005C456E"/>
    <w:rsid w:val="005C47F7"/>
    <w:rsid w:val="005C4AC1"/>
    <w:rsid w:val="005C519D"/>
    <w:rsid w:val="005C540D"/>
    <w:rsid w:val="005C55EF"/>
    <w:rsid w:val="005C5A44"/>
    <w:rsid w:val="005C5B47"/>
    <w:rsid w:val="005C6614"/>
    <w:rsid w:val="005C6641"/>
    <w:rsid w:val="005C6AA0"/>
    <w:rsid w:val="005C7302"/>
    <w:rsid w:val="005C7882"/>
    <w:rsid w:val="005C7A22"/>
    <w:rsid w:val="005D0086"/>
    <w:rsid w:val="005D07D0"/>
    <w:rsid w:val="005D0D7D"/>
    <w:rsid w:val="005D187F"/>
    <w:rsid w:val="005D1990"/>
    <w:rsid w:val="005D21A9"/>
    <w:rsid w:val="005D2682"/>
    <w:rsid w:val="005D295E"/>
    <w:rsid w:val="005D334A"/>
    <w:rsid w:val="005D348D"/>
    <w:rsid w:val="005D3B68"/>
    <w:rsid w:val="005D3D95"/>
    <w:rsid w:val="005D4829"/>
    <w:rsid w:val="005D4A73"/>
    <w:rsid w:val="005D4AD7"/>
    <w:rsid w:val="005D5526"/>
    <w:rsid w:val="005D5570"/>
    <w:rsid w:val="005D5CD3"/>
    <w:rsid w:val="005D6055"/>
    <w:rsid w:val="005D6102"/>
    <w:rsid w:val="005D6117"/>
    <w:rsid w:val="005D6539"/>
    <w:rsid w:val="005D6548"/>
    <w:rsid w:val="005D6E3A"/>
    <w:rsid w:val="005D7459"/>
    <w:rsid w:val="005E018E"/>
    <w:rsid w:val="005E20F0"/>
    <w:rsid w:val="005E315F"/>
    <w:rsid w:val="005E4359"/>
    <w:rsid w:val="005E4682"/>
    <w:rsid w:val="005E477E"/>
    <w:rsid w:val="005E571B"/>
    <w:rsid w:val="005E5F00"/>
    <w:rsid w:val="005E6170"/>
    <w:rsid w:val="005E647F"/>
    <w:rsid w:val="005E64D8"/>
    <w:rsid w:val="005E68BB"/>
    <w:rsid w:val="005E691C"/>
    <w:rsid w:val="005E77ED"/>
    <w:rsid w:val="005E78E3"/>
    <w:rsid w:val="005E78FF"/>
    <w:rsid w:val="005E7A1A"/>
    <w:rsid w:val="005F0248"/>
    <w:rsid w:val="005F0313"/>
    <w:rsid w:val="005F05A1"/>
    <w:rsid w:val="005F0A7A"/>
    <w:rsid w:val="005F1387"/>
    <w:rsid w:val="005F14F9"/>
    <w:rsid w:val="005F2D77"/>
    <w:rsid w:val="005F3191"/>
    <w:rsid w:val="005F32AC"/>
    <w:rsid w:val="005F33A0"/>
    <w:rsid w:val="005F3434"/>
    <w:rsid w:val="005F3C60"/>
    <w:rsid w:val="005F3C68"/>
    <w:rsid w:val="005F3D59"/>
    <w:rsid w:val="005F40F7"/>
    <w:rsid w:val="005F410A"/>
    <w:rsid w:val="005F4283"/>
    <w:rsid w:val="005F441B"/>
    <w:rsid w:val="005F441E"/>
    <w:rsid w:val="005F4539"/>
    <w:rsid w:val="005F45EB"/>
    <w:rsid w:val="005F48C7"/>
    <w:rsid w:val="005F5282"/>
    <w:rsid w:val="005F55BE"/>
    <w:rsid w:val="005F56D1"/>
    <w:rsid w:val="005F5A3C"/>
    <w:rsid w:val="005F62E7"/>
    <w:rsid w:val="005F6C0F"/>
    <w:rsid w:val="005F74A2"/>
    <w:rsid w:val="005F7955"/>
    <w:rsid w:val="005F7C46"/>
    <w:rsid w:val="00600B10"/>
    <w:rsid w:val="006012B3"/>
    <w:rsid w:val="0060130E"/>
    <w:rsid w:val="0060186C"/>
    <w:rsid w:val="006018DC"/>
    <w:rsid w:val="00601A3C"/>
    <w:rsid w:val="00601AD7"/>
    <w:rsid w:val="0060284F"/>
    <w:rsid w:val="00602A1E"/>
    <w:rsid w:val="006035FA"/>
    <w:rsid w:val="006037E5"/>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674"/>
    <w:rsid w:val="00612797"/>
    <w:rsid w:val="00612E32"/>
    <w:rsid w:val="006133F7"/>
    <w:rsid w:val="00613536"/>
    <w:rsid w:val="00613578"/>
    <w:rsid w:val="00613C89"/>
    <w:rsid w:val="00614144"/>
    <w:rsid w:val="0061461D"/>
    <w:rsid w:val="0061470C"/>
    <w:rsid w:val="00615231"/>
    <w:rsid w:val="00615310"/>
    <w:rsid w:val="006156D1"/>
    <w:rsid w:val="00615D88"/>
    <w:rsid w:val="00615DFD"/>
    <w:rsid w:val="00616100"/>
    <w:rsid w:val="006163B5"/>
    <w:rsid w:val="00616967"/>
    <w:rsid w:val="00616DDF"/>
    <w:rsid w:val="00616E04"/>
    <w:rsid w:val="006171FF"/>
    <w:rsid w:val="0061762E"/>
    <w:rsid w:val="00620308"/>
    <w:rsid w:val="00620690"/>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060"/>
    <w:rsid w:val="006312D2"/>
    <w:rsid w:val="00631349"/>
    <w:rsid w:val="00631742"/>
    <w:rsid w:val="00631F42"/>
    <w:rsid w:val="0063213E"/>
    <w:rsid w:val="00632397"/>
    <w:rsid w:val="00632868"/>
    <w:rsid w:val="006328D8"/>
    <w:rsid w:val="00632AE6"/>
    <w:rsid w:val="00632C6E"/>
    <w:rsid w:val="00633289"/>
    <w:rsid w:val="00633611"/>
    <w:rsid w:val="006339A9"/>
    <w:rsid w:val="006339D2"/>
    <w:rsid w:val="00633E8B"/>
    <w:rsid w:val="00634A4F"/>
    <w:rsid w:val="006357FE"/>
    <w:rsid w:val="006358FE"/>
    <w:rsid w:val="006359BF"/>
    <w:rsid w:val="00635D33"/>
    <w:rsid w:val="00635EF9"/>
    <w:rsid w:val="00635F24"/>
    <w:rsid w:val="00635F30"/>
    <w:rsid w:val="00636004"/>
    <w:rsid w:val="006365E7"/>
    <w:rsid w:val="00636680"/>
    <w:rsid w:val="00636A77"/>
    <w:rsid w:val="00636B41"/>
    <w:rsid w:val="00636CF5"/>
    <w:rsid w:val="00636E9E"/>
    <w:rsid w:val="006371EB"/>
    <w:rsid w:val="006373E1"/>
    <w:rsid w:val="006404E9"/>
    <w:rsid w:val="00640537"/>
    <w:rsid w:val="00640D50"/>
    <w:rsid w:val="00640E5B"/>
    <w:rsid w:val="00641273"/>
    <w:rsid w:val="00641598"/>
    <w:rsid w:val="00642AA3"/>
    <w:rsid w:val="00642E2E"/>
    <w:rsid w:val="006436FC"/>
    <w:rsid w:val="006437B3"/>
    <w:rsid w:val="00644219"/>
    <w:rsid w:val="00644285"/>
    <w:rsid w:val="006443BD"/>
    <w:rsid w:val="00644A9C"/>
    <w:rsid w:val="00644EB6"/>
    <w:rsid w:val="00644EC7"/>
    <w:rsid w:val="00645634"/>
    <w:rsid w:val="0064563D"/>
    <w:rsid w:val="006457F2"/>
    <w:rsid w:val="0064617E"/>
    <w:rsid w:val="00646422"/>
    <w:rsid w:val="00646AC1"/>
    <w:rsid w:val="006474FD"/>
    <w:rsid w:val="00647874"/>
    <w:rsid w:val="00647F93"/>
    <w:rsid w:val="006500EA"/>
    <w:rsid w:val="00650CC1"/>
    <w:rsid w:val="00650DD5"/>
    <w:rsid w:val="00650FE7"/>
    <w:rsid w:val="00651257"/>
    <w:rsid w:val="006513EA"/>
    <w:rsid w:val="00651AA0"/>
    <w:rsid w:val="006520DE"/>
    <w:rsid w:val="00652E84"/>
    <w:rsid w:val="00654254"/>
    <w:rsid w:val="006542E6"/>
    <w:rsid w:val="006544E2"/>
    <w:rsid w:val="00654938"/>
    <w:rsid w:val="006551FE"/>
    <w:rsid w:val="00655EE0"/>
    <w:rsid w:val="00655F48"/>
    <w:rsid w:val="00655FFE"/>
    <w:rsid w:val="00656419"/>
    <w:rsid w:val="006564BD"/>
    <w:rsid w:val="00656916"/>
    <w:rsid w:val="00656D91"/>
    <w:rsid w:val="00656F76"/>
    <w:rsid w:val="0065737E"/>
    <w:rsid w:val="00657569"/>
    <w:rsid w:val="00657724"/>
    <w:rsid w:val="0066084B"/>
    <w:rsid w:val="00660AAD"/>
    <w:rsid w:val="0066177B"/>
    <w:rsid w:val="006618A4"/>
    <w:rsid w:val="00661951"/>
    <w:rsid w:val="00661F4D"/>
    <w:rsid w:val="006622AE"/>
    <w:rsid w:val="006633E3"/>
    <w:rsid w:val="00663420"/>
    <w:rsid w:val="006637BF"/>
    <w:rsid w:val="00663852"/>
    <w:rsid w:val="00663939"/>
    <w:rsid w:val="0066412B"/>
    <w:rsid w:val="0066437C"/>
    <w:rsid w:val="00664387"/>
    <w:rsid w:val="0066493B"/>
    <w:rsid w:val="006657FC"/>
    <w:rsid w:val="00665928"/>
    <w:rsid w:val="00665A20"/>
    <w:rsid w:val="00665D3F"/>
    <w:rsid w:val="00665DF1"/>
    <w:rsid w:val="00665F97"/>
    <w:rsid w:val="00666699"/>
    <w:rsid w:val="00667434"/>
    <w:rsid w:val="006677C2"/>
    <w:rsid w:val="00667D2E"/>
    <w:rsid w:val="00670294"/>
    <w:rsid w:val="00670841"/>
    <w:rsid w:val="00670B9D"/>
    <w:rsid w:val="006717BD"/>
    <w:rsid w:val="00671A37"/>
    <w:rsid w:val="0067218B"/>
    <w:rsid w:val="006724D4"/>
    <w:rsid w:val="006726C8"/>
    <w:rsid w:val="00672733"/>
    <w:rsid w:val="006729A4"/>
    <w:rsid w:val="00672FA5"/>
    <w:rsid w:val="00673ADF"/>
    <w:rsid w:val="00673C39"/>
    <w:rsid w:val="00674BD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1FC8"/>
    <w:rsid w:val="00682014"/>
    <w:rsid w:val="006824D7"/>
    <w:rsid w:val="00682CE5"/>
    <w:rsid w:val="006840B1"/>
    <w:rsid w:val="00684741"/>
    <w:rsid w:val="00684765"/>
    <w:rsid w:val="0068499A"/>
    <w:rsid w:val="0068514E"/>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13E"/>
    <w:rsid w:val="006912C2"/>
    <w:rsid w:val="0069130C"/>
    <w:rsid w:val="00691425"/>
    <w:rsid w:val="00691A40"/>
    <w:rsid w:val="00691F61"/>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694"/>
    <w:rsid w:val="006A075F"/>
    <w:rsid w:val="006A0C9E"/>
    <w:rsid w:val="006A145D"/>
    <w:rsid w:val="006A1712"/>
    <w:rsid w:val="006A1A72"/>
    <w:rsid w:val="006A1CAF"/>
    <w:rsid w:val="006A1FFE"/>
    <w:rsid w:val="006A2073"/>
    <w:rsid w:val="006A28AA"/>
    <w:rsid w:val="006A2A12"/>
    <w:rsid w:val="006A2AB7"/>
    <w:rsid w:val="006A2F02"/>
    <w:rsid w:val="006A33E9"/>
    <w:rsid w:val="006A36C0"/>
    <w:rsid w:val="006A377F"/>
    <w:rsid w:val="006A3839"/>
    <w:rsid w:val="006A39B2"/>
    <w:rsid w:val="006A3C7D"/>
    <w:rsid w:val="006A3CB4"/>
    <w:rsid w:val="006A3DBF"/>
    <w:rsid w:val="006A451A"/>
    <w:rsid w:val="006A46FA"/>
    <w:rsid w:val="006A4BEF"/>
    <w:rsid w:val="006A4D2D"/>
    <w:rsid w:val="006A4F71"/>
    <w:rsid w:val="006A503F"/>
    <w:rsid w:val="006A5326"/>
    <w:rsid w:val="006A5B81"/>
    <w:rsid w:val="006A6204"/>
    <w:rsid w:val="006A624F"/>
    <w:rsid w:val="006A637F"/>
    <w:rsid w:val="006A6458"/>
    <w:rsid w:val="006A68A0"/>
    <w:rsid w:val="006A69E1"/>
    <w:rsid w:val="006A6AC6"/>
    <w:rsid w:val="006A75E3"/>
    <w:rsid w:val="006A79D6"/>
    <w:rsid w:val="006A7B3C"/>
    <w:rsid w:val="006A7C6F"/>
    <w:rsid w:val="006B03E3"/>
    <w:rsid w:val="006B10B7"/>
    <w:rsid w:val="006B1490"/>
    <w:rsid w:val="006B1FBD"/>
    <w:rsid w:val="006B357F"/>
    <w:rsid w:val="006B38F2"/>
    <w:rsid w:val="006B405B"/>
    <w:rsid w:val="006B4C44"/>
    <w:rsid w:val="006B4CED"/>
    <w:rsid w:val="006B5538"/>
    <w:rsid w:val="006B55A0"/>
    <w:rsid w:val="006B564C"/>
    <w:rsid w:val="006B5BBF"/>
    <w:rsid w:val="006B66F2"/>
    <w:rsid w:val="006B7F49"/>
    <w:rsid w:val="006C0940"/>
    <w:rsid w:val="006C0E8E"/>
    <w:rsid w:val="006C1858"/>
    <w:rsid w:val="006C24A6"/>
    <w:rsid w:val="006C27CF"/>
    <w:rsid w:val="006C331B"/>
    <w:rsid w:val="006C3D18"/>
    <w:rsid w:val="006C3ED8"/>
    <w:rsid w:val="006C3F47"/>
    <w:rsid w:val="006C41BB"/>
    <w:rsid w:val="006C44E0"/>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6CB3"/>
    <w:rsid w:val="006D7C53"/>
    <w:rsid w:val="006D7CB6"/>
    <w:rsid w:val="006E001E"/>
    <w:rsid w:val="006E0041"/>
    <w:rsid w:val="006E0227"/>
    <w:rsid w:val="006E0497"/>
    <w:rsid w:val="006E0790"/>
    <w:rsid w:val="006E0BF7"/>
    <w:rsid w:val="006E1717"/>
    <w:rsid w:val="006E1CB9"/>
    <w:rsid w:val="006E23CD"/>
    <w:rsid w:val="006E34B7"/>
    <w:rsid w:val="006E3A3E"/>
    <w:rsid w:val="006E3DEB"/>
    <w:rsid w:val="006E3E09"/>
    <w:rsid w:val="006E42F9"/>
    <w:rsid w:val="006E430D"/>
    <w:rsid w:val="006E4530"/>
    <w:rsid w:val="006E4CC3"/>
    <w:rsid w:val="006E5757"/>
    <w:rsid w:val="006E5DF1"/>
    <w:rsid w:val="006E628B"/>
    <w:rsid w:val="006E741B"/>
    <w:rsid w:val="006E79F3"/>
    <w:rsid w:val="006E7C97"/>
    <w:rsid w:val="006E7CC1"/>
    <w:rsid w:val="006E7DB1"/>
    <w:rsid w:val="006E7FD2"/>
    <w:rsid w:val="006F0835"/>
    <w:rsid w:val="006F0AEA"/>
    <w:rsid w:val="006F15D0"/>
    <w:rsid w:val="006F192A"/>
    <w:rsid w:val="006F2538"/>
    <w:rsid w:val="006F2607"/>
    <w:rsid w:val="006F2767"/>
    <w:rsid w:val="006F2886"/>
    <w:rsid w:val="006F3464"/>
    <w:rsid w:val="006F3683"/>
    <w:rsid w:val="006F37CF"/>
    <w:rsid w:val="006F3B08"/>
    <w:rsid w:val="006F43AF"/>
    <w:rsid w:val="006F4C74"/>
    <w:rsid w:val="006F50C7"/>
    <w:rsid w:val="006F578A"/>
    <w:rsid w:val="006F5AB4"/>
    <w:rsid w:val="006F5AE3"/>
    <w:rsid w:val="006F6740"/>
    <w:rsid w:val="006F6D72"/>
    <w:rsid w:val="006F6FCA"/>
    <w:rsid w:val="006F7583"/>
    <w:rsid w:val="006F797D"/>
    <w:rsid w:val="006F7E3B"/>
    <w:rsid w:val="007000C0"/>
    <w:rsid w:val="007007A4"/>
    <w:rsid w:val="00700D21"/>
    <w:rsid w:val="00700E6B"/>
    <w:rsid w:val="0070176A"/>
    <w:rsid w:val="00701901"/>
    <w:rsid w:val="00701B81"/>
    <w:rsid w:val="00701C37"/>
    <w:rsid w:val="00702434"/>
    <w:rsid w:val="00702BD1"/>
    <w:rsid w:val="00702FC9"/>
    <w:rsid w:val="00703659"/>
    <w:rsid w:val="00703891"/>
    <w:rsid w:val="007039C7"/>
    <w:rsid w:val="00703A2A"/>
    <w:rsid w:val="00703EBA"/>
    <w:rsid w:val="0070478D"/>
    <w:rsid w:val="00705060"/>
    <w:rsid w:val="007055E4"/>
    <w:rsid w:val="00705720"/>
    <w:rsid w:val="00706A21"/>
    <w:rsid w:val="00706D39"/>
    <w:rsid w:val="00706D6C"/>
    <w:rsid w:val="00707007"/>
    <w:rsid w:val="0070719F"/>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512"/>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65E"/>
    <w:rsid w:val="00723CFD"/>
    <w:rsid w:val="00724362"/>
    <w:rsid w:val="007248DC"/>
    <w:rsid w:val="00724EE3"/>
    <w:rsid w:val="00724F0D"/>
    <w:rsid w:val="00724F35"/>
    <w:rsid w:val="007254A1"/>
    <w:rsid w:val="00725AAB"/>
    <w:rsid w:val="0072610C"/>
    <w:rsid w:val="0072649C"/>
    <w:rsid w:val="0072650C"/>
    <w:rsid w:val="00726D8A"/>
    <w:rsid w:val="0072729F"/>
    <w:rsid w:val="007275C6"/>
    <w:rsid w:val="0072777C"/>
    <w:rsid w:val="0072794C"/>
    <w:rsid w:val="00727959"/>
    <w:rsid w:val="00727BCF"/>
    <w:rsid w:val="00727F7F"/>
    <w:rsid w:val="0073017F"/>
    <w:rsid w:val="007302D7"/>
    <w:rsid w:val="007303BC"/>
    <w:rsid w:val="007319EA"/>
    <w:rsid w:val="00731D6D"/>
    <w:rsid w:val="00731F70"/>
    <w:rsid w:val="00731FC1"/>
    <w:rsid w:val="00731FE3"/>
    <w:rsid w:val="0073294B"/>
    <w:rsid w:val="00732D7B"/>
    <w:rsid w:val="0073339C"/>
    <w:rsid w:val="00733CEA"/>
    <w:rsid w:val="00734209"/>
    <w:rsid w:val="007342C7"/>
    <w:rsid w:val="0073514D"/>
    <w:rsid w:val="00735553"/>
    <w:rsid w:val="00735A1C"/>
    <w:rsid w:val="00735A8A"/>
    <w:rsid w:val="00735CF2"/>
    <w:rsid w:val="00735D67"/>
    <w:rsid w:val="00736AC6"/>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74"/>
    <w:rsid w:val="007469B6"/>
    <w:rsid w:val="00746E8F"/>
    <w:rsid w:val="007473C5"/>
    <w:rsid w:val="00747776"/>
    <w:rsid w:val="00747FF7"/>
    <w:rsid w:val="0075000C"/>
    <w:rsid w:val="007505F6"/>
    <w:rsid w:val="007509FF"/>
    <w:rsid w:val="007510F0"/>
    <w:rsid w:val="0075148E"/>
    <w:rsid w:val="007518F2"/>
    <w:rsid w:val="007521C3"/>
    <w:rsid w:val="007522A6"/>
    <w:rsid w:val="00752490"/>
    <w:rsid w:val="00752901"/>
    <w:rsid w:val="0075299D"/>
    <w:rsid w:val="0075447F"/>
    <w:rsid w:val="007545E8"/>
    <w:rsid w:val="00754D67"/>
    <w:rsid w:val="007550D5"/>
    <w:rsid w:val="0075533F"/>
    <w:rsid w:val="0075560D"/>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BAC"/>
    <w:rsid w:val="00760CD4"/>
    <w:rsid w:val="00760FB1"/>
    <w:rsid w:val="0076174B"/>
    <w:rsid w:val="007629F7"/>
    <w:rsid w:val="00762BB8"/>
    <w:rsid w:val="00762EE7"/>
    <w:rsid w:val="0076460B"/>
    <w:rsid w:val="00764939"/>
    <w:rsid w:val="00764A54"/>
    <w:rsid w:val="00764A6D"/>
    <w:rsid w:val="00764C78"/>
    <w:rsid w:val="00764D34"/>
    <w:rsid w:val="00764E83"/>
    <w:rsid w:val="00766E01"/>
    <w:rsid w:val="0076719E"/>
    <w:rsid w:val="00767221"/>
    <w:rsid w:val="00767558"/>
    <w:rsid w:val="00767707"/>
    <w:rsid w:val="00767A50"/>
    <w:rsid w:val="0077001C"/>
    <w:rsid w:val="007704B1"/>
    <w:rsid w:val="007707AF"/>
    <w:rsid w:val="00770AF0"/>
    <w:rsid w:val="00770B6D"/>
    <w:rsid w:val="00770EB8"/>
    <w:rsid w:val="00771103"/>
    <w:rsid w:val="007715A4"/>
    <w:rsid w:val="0077184B"/>
    <w:rsid w:val="007718E2"/>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0443"/>
    <w:rsid w:val="00780835"/>
    <w:rsid w:val="00780C64"/>
    <w:rsid w:val="00780EE2"/>
    <w:rsid w:val="00781B8D"/>
    <w:rsid w:val="00781E7B"/>
    <w:rsid w:val="0078206C"/>
    <w:rsid w:val="00782227"/>
    <w:rsid w:val="00782320"/>
    <w:rsid w:val="00782D41"/>
    <w:rsid w:val="007830EA"/>
    <w:rsid w:val="00783A4B"/>
    <w:rsid w:val="00783B1B"/>
    <w:rsid w:val="00784090"/>
    <w:rsid w:val="00784138"/>
    <w:rsid w:val="00785293"/>
    <w:rsid w:val="007854D2"/>
    <w:rsid w:val="00785921"/>
    <w:rsid w:val="00785F2B"/>
    <w:rsid w:val="00786289"/>
    <w:rsid w:val="007864A9"/>
    <w:rsid w:val="007866CD"/>
    <w:rsid w:val="00787BC9"/>
    <w:rsid w:val="00787BD5"/>
    <w:rsid w:val="00787F20"/>
    <w:rsid w:val="007900A3"/>
    <w:rsid w:val="007902EA"/>
    <w:rsid w:val="0079089A"/>
    <w:rsid w:val="00790A6F"/>
    <w:rsid w:val="00790ACD"/>
    <w:rsid w:val="00790C60"/>
    <w:rsid w:val="0079140A"/>
    <w:rsid w:val="00791BBE"/>
    <w:rsid w:val="0079223E"/>
    <w:rsid w:val="00792A2D"/>
    <w:rsid w:val="00792F8E"/>
    <w:rsid w:val="007936F9"/>
    <w:rsid w:val="00794023"/>
    <w:rsid w:val="00794163"/>
    <w:rsid w:val="007944C0"/>
    <w:rsid w:val="00794619"/>
    <w:rsid w:val="007948FE"/>
    <w:rsid w:val="00794B42"/>
    <w:rsid w:val="00795344"/>
    <w:rsid w:val="00795644"/>
    <w:rsid w:val="00795CE7"/>
    <w:rsid w:val="007966AB"/>
    <w:rsid w:val="00796B5C"/>
    <w:rsid w:val="00796BF0"/>
    <w:rsid w:val="00796C15"/>
    <w:rsid w:val="00796ED9"/>
    <w:rsid w:val="00797520"/>
    <w:rsid w:val="00797FA8"/>
    <w:rsid w:val="00797FC7"/>
    <w:rsid w:val="007A0B15"/>
    <w:rsid w:val="007A0E12"/>
    <w:rsid w:val="007A0E13"/>
    <w:rsid w:val="007A1017"/>
    <w:rsid w:val="007A174B"/>
    <w:rsid w:val="007A1A14"/>
    <w:rsid w:val="007A20B6"/>
    <w:rsid w:val="007A2519"/>
    <w:rsid w:val="007A2C2C"/>
    <w:rsid w:val="007A2EC8"/>
    <w:rsid w:val="007A320A"/>
    <w:rsid w:val="007A3614"/>
    <w:rsid w:val="007A3DDA"/>
    <w:rsid w:val="007A3E61"/>
    <w:rsid w:val="007A55C2"/>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1C36"/>
    <w:rsid w:val="007B24C2"/>
    <w:rsid w:val="007B28BF"/>
    <w:rsid w:val="007B2AC5"/>
    <w:rsid w:val="007B2F65"/>
    <w:rsid w:val="007B2FCD"/>
    <w:rsid w:val="007B31A3"/>
    <w:rsid w:val="007B3AAE"/>
    <w:rsid w:val="007B4168"/>
    <w:rsid w:val="007B4632"/>
    <w:rsid w:val="007B546F"/>
    <w:rsid w:val="007B5810"/>
    <w:rsid w:val="007B68FD"/>
    <w:rsid w:val="007B6BA6"/>
    <w:rsid w:val="007B6F00"/>
    <w:rsid w:val="007B787C"/>
    <w:rsid w:val="007C0937"/>
    <w:rsid w:val="007C1746"/>
    <w:rsid w:val="007C1CB6"/>
    <w:rsid w:val="007C1E40"/>
    <w:rsid w:val="007C1F30"/>
    <w:rsid w:val="007C21BC"/>
    <w:rsid w:val="007C25B1"/>
    <w:rsid w:val="007C2611"/>
    <w:rsid w:val="007C2660"/>
    <w:rsid w:val="007C26A5"/>
    <w:rsid w:val="007C27D1"/>
    <w:rsid w:val="007C2AC2"/>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388"/>
    <w:rsid w:val="007D4ADA"/>
    <w:rsid w:val="007D4F07"/>
    <w:rsid w:val="007D5E13"/>
    <w:rsid w:val="007D606B"/>
    <w:rsid w:val="007D632A"/>
    <w:rsid w:val="007D6369"/>
    <w:rsid w:val="007D675C"/>
    <w:rsid w:val="007D6B45"/>
    <w:rsid w:val="007D7239"/>
    <w:rsid w:val="007D7B7C"/>
    <w:rsid w:val="007D7C5D"/>
    <w:rsid w:val="007D7F3C"/>
    <w:rsid w:val="007E0893"/>
    <w:rsid w:val="007E16E4"/>
    <w:rsid w:val="007E1BDD"/>
    <w:rsid w:val="007E1C32"/>
    <w:rsid w:val="007E2210"/>
    <w:rsid w:val="007E2772"/>
    <w:rsid w:val="007E2F85"/>
    <w:rsid w:val="007E36AD"/>
    <w:rsid w:val="007E383B"/>
    <w:rsid w:val="007E3E3E"/>
    <w:rsid w:val="007E4AC7"/>
    <w:rsid w:val="007E4E5E"/>
    <w:rsid w:val="007E5069"/>
    <w:rsid w:val="007E5473"/>
    <w:rsid w:val="007E5C89"/>
    <w:rsid w:val="007E5F4C"/>
    <w:rsid w:val="007E6015"/>
    <w:rsid w:val="007E679D"/>
    <w:rsid w:val="007E6840"/>
    <w:rsid w:val="007E72C9"/>
    <w:rsid w:val="007E766C"/>
    <w:rsid w:val="007E7C00"/>
    <w:rsid w:val="007F0545"/>
    <w:rsid w:val="007F07BA"/>
    <w:rsid w:val="007F0A58"/>
    <w:rsid w:val="007F0D75"/>
    <w:rsid w:val="007F1FEA"/>
    <w:rsid w:val="007F2388"/>
    <w:rsid w:val="007F26B5"/>
    <w:rsid w:val="007F26FA"/>
    <w:rsid w:val="007F2A6D"/>
    <w:rsid w:val="007F373A"/>
    <w:rsid w:val="007F3ACD"/>
    <w:rsid w:val="007F3BBA"/>
    <w:rsid w:val="007F3BE1"/>
    <w:rsid w:val="007F4011"/>
    <w:rsid w:val="007F4045"/>
    <w:rsid w:val="007F423F"/>
    <w:rsid w:val="007F42EC"/>
    <w:rsid w:val="007F44DA"/>
    <w:rsid w:val="007F45DE"/>
    <w:rsid w:val="007F4A82"/>
    <w:rsid w:val="007F4B5B"/>
    <w:rsid w:val="007F4BAC"/>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F59"/>
    <w:rsid w:val="0080726D"/>
    <w:rsid w:val="00807526"/>
    <w:rsid w:val="00807DF8"/>
    <w:rsid w:val="00807FF6"/>
    <w:rsid w:val="00810050"/>
    <w:rsid w:val="008107C1"/>
    <w:rsid w:val="00810969"/>
    <w:rsid w:val="00810AE4"/>
    <w:rsid w:val="00810EC2"/>
    <w:rsid w:val="00811229"/>
    <w:rsid w:val="008112C2"/>
    <w:rsid w:val="00811AFA"/>
    <w:rsid w:val="00811CD4"/>
    <w:rsid w:val="008121EF"/>
    <w:rsid w:val="00812F96"/>
    <w:rsid w:val="0081319A"/>
    <w:rsid w:val="0081320C"/>
    <w:rsid w:val="0081396A"/>
    <w:rsid w:val="00813B9E"/>
    <w:rsid w:val="00813CBF"/>
    <w:rsid w:val="008143C7"/>
    <w:rsid w:val="00814620"/>
    <w:rsid w:val="00814655"/>
    <w:rsid w:val="008149BE"/>
    <w:rsid w:val="00814A3E"/>
    <w:rsid w:val="00814BFA"/>
    <w:rsid w:val="00814D10"/>
    <w:rsid w:val="00815192"/>
    <w:rsid w:val="00815D57"/>
    <w:rsid w:val="00815E46"/>
    <w:rsid w:val="00816132"/>
    <w:rsid w:val="008175E2"/>
    <w:rsid w:val="00817720"/>
    <w:rsid w:val="0081778D"/>
    <w:rsid w:val="00820A80"/>
    <w:rsid w:val="00820E5E"/>
    <w:rsid w:val="00821173"/>
    <w:rsid w:val="00821BA4"/>
    <w:rsid w:val="00821FE7"/>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06B"/>
    <w:rsid w:val="00830510"/>
    <w:rsid w:val="00830606"/>
    <w:rsid w:val="008306C4"/>
    <w:rsid w:val="0083092C"/>
    <w:rsid w:val="00830958"/>
    <w:rsid w:val="00830DC9"/>
    <w:rsid w:val="00831241"/>
    <w:rsid w:val="00831EA7"/>
    <w:rsid w:val="00832BB1"/>
    <w:rsid w:val="00832FC6"/>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6CDA"/>
    <w:rsid w:val="00837142"/>
    <w:rsid w:val="00837957"/>
    <w:rsid w:val="008379DB"/>
    <w:rsid w:val="00837AE5"/>
    <w:rsid w:val="00837E79"/>
    <w:rsid w:val="008414FC"/>
    <w:rsid w:val="00841A30"/>
    <w:rsid w:val="00841DD6"/>
    <w:rsid w:val="008430F5"/>
    <w:rsid w:val="00843479"/>
    <w:rsid w:val="00843A34"/>
    <w:rsid w:val="00843BAD"/>
    <w:rsid w:val="00843F12"/>
    <w:rsid w:val="008442E5"/>
    <w:rsid w:val="00844C7F"/>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599"/>
    <w:rsid w:val="00854627"/>
    <w:rsid w:val="00854A70"/>
    <w:rsid w:val="00854C1F"/>
    <w:rsid w:val="00854DBF"/>
    <w:rsid w:val="0085572B"/>
    <w:rsid w:val="00855962"/>
    <w:rsid w:val="00855B5C"/>
    <w:rsid w:val="00855FC9"/>
    <w:rsid w:val="00856002"/>
    <w:rsid w:val="00856108"/>
    <w:rsid w:val="0085626D"/>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B1A"/>
    <w:rsid w:val="00862D15"/>
    <w:rsid w:val="00862F5D"/>
    <w:rsid w:val="00862F8B"/>
    <w:rsid w:val="008635AC"/>
    <w:rsid w:val="00863750"/>
    <w:rsid w:val="008637D9"/>
    <w:rsid w:val="00863A68"/>
    <w:rsid w:val="0086411C"/>
    <w:rsid w:val="00864B69"/>
    <w:rsid w:val="00864CF3"/>
    <w:rsid w:val="0086515E"/>
    <w:rsid w:val="008653D0"/>
    <w:rsid w:val="0086639A"/>
    <w:rsid w:val="00866A4B"/>
    <w:rsid w:val="00866C0C"/>
    <w:rsid w:val="00867491"/>
    <w:rsid w:val="00867B6E"/>
    <w:rsid w:val="00867BD8"/>
    <w:rsid w:val="00867C69"/>
    <w:rsid w:val="0087109B"/>
    <w:rsid w:val="008721BC"/>
    <w:rsid w:val="008724C4"/>
    <w:rsid w:val="0087298D"/>
    <w:rsid w:val="00873D5A"/>
    <w:rsid w:val="00874C1B"/>
    <w:rsid w:val="00874F8B"/>
    <w:rsid w:val="008750F3"/>
    <w:rsid w:val="00875538"/>
    <w:rsid w:val="00875D1B"/>
    <w:rsid w:val="00875D9A"/>
    <w:rsid w:val="00875F3F"/>
    <w:rsid w:val="00876218"/>
    <w:rsid w:val="0087622F"/>
    <w:rsid w:val="0087624A"/>
    <w:rsid w:val="0087630D"/>
    <w:rsid w:val="00876929"/>
    <w:rsid w:val="008769D0"/>
    <w:rsid w:val="00876A20"/>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39AD"/>
    <w:rsid w:val="00884326"/>
    <w:rsid w:val="008844C4"/>
    <w:rsid w:val="00884CC1"/>
    <w:rsid w:val="00885C1C"/>
    <w:rsid w:val="00885EC1"/>
    <w:rsid w:val="0088617D"/>
    <w:rsid w:val="008861B0"/>
    <w:rsid w:val="008866E3"/>
    <w:rsid w:val="00886F21"/>
    <w:rsid w:val="0088718B"/>
    <w:rsid w:val="00887238"/>
    <w:rsid w:val="00887E73"/>
    <w:rsid w:val="00887EA4"/>
    <w:rsid w:val="00890E84"/>
    <w:rsid w:val="0089168B"/>
    <w:rsid w:val="008917BD"/>
    <w:rsid w:val="00891A49"/>
    <w:rsid w:val="00892214"/>
    <w:rsid w:val="00892699"/>
    <w:rsid w:val="0089269E"/>
    <w:rsid w:val="008927C1"/>
    <w:rsid w:val="0089289F"/>
    <w:rsid w:val="008933D3"/>
    <w:rsid w:val="008939AA"/>
    <w:rsid w:val="008939F7"/>
    <w:rsid w:val="00893A64"/>
    <w:rsid w:val="00893D2A"/>
    <w:rsid w:val="00894108"/>
    <w:rsid w:val="008947C1"/>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677"/>
    <w:rsid w:val="008977BA"/>
    <w:rsid w:val="00897A9C"/>
    <w:rsid w:val="00897F1D"/>
    <w:rsid w:val="008A0374"/>
    <w:rsid w:val="008A0E04"/>
    <w:rsid w:val="008A0F67"/>
    <w:rsid w:val="008A1D82"/>
    <w:rsid w:val="008A1E01"/>
    <w:rsid w:val="008A1FE1"/>
    <w:rsid w:val="008A27B1"/>
    <w:rsid w:val="008A2935"/>
    <w:rsid w:val="008A295F"/>
    <w:rsid w:val="008A311B"/>
    <w:rsid w:val="008A3AFD"/>
    <w:rsid w:val="008A3B38"/>
    <w:rsid w:val="008A3E29"/>
    <w:rsid w:val="008A3EAE"/>
    <w:rsid w:val="008A3F24"/>
    <w:rsid w:val="008A40CA"/>
    <w:rsid w:val="008A46F4"/>
    <w:rsid w:val="008A479F"/>
    <w:rsid w:val="008A53B5"/>
    <w:rsid w:val="008A5F62"/>
    <w:rsid w:val="008A747E"/>
    <w:rsid w:val="008A749E"/>
    <w:rsid w:val="008A76E8"/>
    <w:rsid w:val="008A773A"/>
    <w:rsid w:val="008A79FA"/>
    <w:rsid w:val="008A7CB5"/>
    <w:rsid w:val="008B05FD"/>
    <w:rsid w:val="008B06FC"/>
    <w:rsid w:val="008B0736"/>
    <w:rsid w:val="008B1294"/>
    <w:rsid w:val="008B157E"/>
    <w:rsid w:val="008B17EB"/>
    <w:rsid w:val="008B1940"/>
    <w:rsid w:val="008B22C9"/>
    <w:rsid w:val="008B24B5"/>
    <w:rsid w:val="008B285C"/>
    <w:rsid w:val="008B3CA3"/>
    <w:rsid w:val="008B413B"/>
    <w:rsid w:val="008B423E"/>
    <w:rsid w:val="008B46BA"/>
    <w:rsid w:val="008B4828"/>
    <w:rsid w:val="008B489F"/>
    <w:rsid w:val="008B4A37"/>
    <w:rsid w:val="008B4EA1"/>
    <w:rsid w:val="008B4F62"/>
    <w:rsid w:val="008B52F3"/>
    <w:rsid w:val="008B5852"/>
    <w:rsid w:val="008B5B6D"/>
    <w:rsid w:val="008B6788"/>
    <w:rsid w:val="008B683C"/>
    <w:rsid w:val="008B69B8"/>
    <w:rsid w:val="008B6B2C"/>
    <w:rsid w:val="008B6BD3"/>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6E"/>
    <w:rsid w:val="008C7171"/>
    <w:rsid w:val="008C7403"/>
    <w:rsid w:val="008C7D10"/>
    <w:rsid w:val="008C7DD6"/>
    <w:rsid w:val="008D01D3"/>
    <w:rsid w:val="008D087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C6C"/>
    <w:rsid w:val="008D7EEA"/>
    <w:rsid w:val="008E04A9"/>
    <w:rsid w:val="008E0B6C"/>
    <w:rsid w:val="008E0C87"/>
    <w:rsid w:val="008E19D6"/>
    <w:rsid w:val="008E1A2E"/>
    <w:rsid w:val="008E2A77"/>
    <w:rsid w:val="008E2E7F"/>
    <w:rsid w:val="008E406C"/>
    <w:rsid w:val="008E41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905"/>
    <w:rsid w:val="008F2ED4"/>
    <w:rsid w:val="008F304D"/>
    <w:rsid w:val="008F3D0D"/>
    <w:rsid w:val="008F3DFB"/>
    <w:rsid w:val="008F4285"/>
    <w:rsid w:val="008F438A"/>
    <w:rsid w:val="008F4AC6"/>
    <w:rsid w:val="008F4B79"/>
    <w:rsid w:val="008F52A6"/>
    <w:rsid w:val="008F5433"/>
    <w:rsid w:val="008F5DAE"/>
    <w:rsid w:val="008F66C9"/>
    <w:rsid w:val="008F792A"/>
    <w:rsid w:val="008F793D"/>
    <w:rsid w:val="008F7C72"/>
    <w:rsid w:val="009013FD"/>
    <w:rsid w:val="0090177C"/>
    <w:rsid w:val="0090217A"/>
    <w:rsid w:val="009028AE"/>
    <w:rsid w:val="00902963"/>
    <w:rsid w:val="00902D2C"/>
    <w:rsid w:val="00902F09"/>
    <w:rsid w:val="00903068"/>
    <w:rsid w:val="0090337B"/>
    <w:rsid w:val="00903A97"/>
    <w:rsid w:val="00903D02"/>
    <w:rsid w:val="00903D0C"/>
    <w:rsid w:val="00903DD3"/>
    <w:rsid w:val="00903EE0"/>
    <w:rsid w:val="00904573"/>
    <w:rsid w:val="009048CB"/>
    <w:rsid w:val="00904BA6"/>
    <w:rsid w:val="00904C56"/>
    <w:rsid w:val="00904D49"/>
    <w:rsid w:val="00905134"/>
    <w:rsid w:val="00905653"/>
    <w:rsid w:val="0090591B"/>
    <w:rsid w:val="00905AB9"/>
    <w:rsid w:val="0090624D"/>
    <w:rsid w:val="00906A9A"/>
    <w:rsid w:val="00906B4C"/>
    <w:rsid w:val="00906ECE"/>
    <w:rsid w:val="009070E0"/>
    <w:rsid w:val="00907487"/>
    <w:rsid w:val="009075C1"/>
    <w:rsid w:val="00907734"/>
    <w:rsid w:val="00910973"/>
    <w:rsid w:val="00910E21"/>
    <w:rsid w:val="00911191"/>
    <w:rsid w:val="00911240"/>
    <w:rsid w:val="00911D02"/>
    <w:rsid w:val="00912646"/>
    <w:rsid w:val="009129C0"/>
    <w:rsid w:val="00912B25"/>
    <w:rsid w:val="00913116"/>
    <w:rsid w:val="0091339A"/>
    <w:rsid w:val="009136DD"/>
    <w:rsid w:val="009137AC"/>
    <w:rsid w:val="00913C5F"/>
    <w:rsid w:val="0091477F"/>
    <w:rsid w:val="009148BD"/>
    <w:rsid w:val="00915011"/>
    <w:rsid w:val="0091557D"/>
    <w:rsid w:val="009158E9"/>
    <w:rsid w:val="009161D2"/>
    <w:rsid w:val="00916347"/>
    <w:rsid w:val="00917C56"/>
    <w:rsid w:val="009201E0"/>
    <w:rsid w:val="009203E2"/>
    <w:rsid w:val="0092040A"/>
    <w:rsid w:val="00920B37"/>
    <w:rsid w:val="00920E12"/>
    <w:rsid w:val="009217A6"/>
    <w:rsid w:val="00921865"/>
    <w:rsid w:val="00921BD1"/>
    <w:rsid w:val="00922022"/>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078"/>
    <w:rsid w:val="0093656D"/>
    <w:rsid w:val="009366B6"/>
    <w:rsid w:val="00936838"/>
    <w:rsid w:val="00936EA9"/>
    <w:rsid w:val="0093764E"/>
    <w:rsid w:val="0094056A"/>
    <w:rsid w:val="00940BEE"/>
    <w:rsid w:val="00940D42"/>
    <w:rsid w:val="00940F8E"/>
    <w:rsid w:val="009410F3"/>
    <w:rsid w:val="0094196F"/>
    <w:rsid w:val="00941A77"/>
    <w:rsid w:val="009421AA"/>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5002B"/>
    <w:rsid w:val="00950D1A"/>
    <w:rsid w:val="00951C74"/>
    <w:rsid w:val="00952721"/>
    <w:rsid w:val="0095276D"/>
    <w:rsid w:val="00952AC8"/>
    <w:rsid w:val="00952E01"/>
    <w:rsid w:val="009530F1"/>
    <w:rsid w:val="009533D1"/>
    <w:rsid w:val="009536EA"/>
    <w:rsid w:val="00953898"/>
    <w:rsid w:val="00953CCE"/>
    <w:rsid w:val="00954364"/>
    <w:rsid w:val="00954BFE"/>
    <w:rsid w:val="00954F80"/>
    <w:rsid w:val="00955804"/>
    <w:rsid w:val="009559DE"/>
    <w:rsid w:val="009567B2"/>
    <w:rsid w:val="0095692F"/>
    <w:rsid w:val="00956CED"/>
    <w:rsid w:val="009571A6"/>
    <w:rsid w:val="00957219"/>
    <w:rsid w:val="00957C6F"/>
    <w:rsid w:val="00960087"/>
    <w:rsid w:val="00960205"/>
    <w:rsid w:val="0096084F"/>
    <w:rsid w:val="00960E7E"/>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1BE5"/>
    <w:rsid w:val="009729D1"/>
    <w:rsid w:val="00972C07"/>
    <w:rsid w:val="009732EA"/>
    <w:rsid w:val="00973308"/>
    <w:rsid w:val="00973607"/>
    <w:rsid w:val="009740F5"/>
    <w:rsid w:val="00974188"/>
    <w:rsid w:val="009749DA"/>
    <w:rsid w:val="00974FCB"/>
    <w:rsid w:val="0097536C"/>
    <w:rsid w:val="009756A1"/>
    <w:rsid w:val="00975BCF"/>
    <w:rsid w:val="00975C81"/>
    <w:rsid w:val="009764B6"/>
    <w:rsid w:val="009766BC"/>
    <w:rsid w:val="00976DD3"/>
    <w:rsid w:val="009771AF"/>
    <w:rsid w:val="00977346"/>
    <w:rsid w:val="0097746F"/>
    <w:rsid w:val="00977680"/>
    <w:rsid w:val="00980090"/>
    <w:rsid w:val="00980815"/>
    <w:rsid w:val="0098163A"/>
    <w:rsid w:val="00981922"/>
    <w:rsid w:val="00982524"/>
    <w:rsid w:val="0098261F"/>
    <w:rsid w:val="00982784"/>
    <w:rsid w:val="00983238"/>
    <w:rsid w:val="009835AE"/>
    <w:rsid w:val="00983958"/>
    <w:rsid w:val="00983BFE"/>
    <w:rsid w:val="00983F4A"/>
    <w:rsid w:val="009840D0"/>
    <w:rsid w:val="009843EC"/>
    <w:rsid w:val="00984406"/>
    <w:rsid w:val="0098536E"/>
    <w:rsid w:val="00985670"/>
    <w:rsid w:val="00985E6C"/>
    <w:rsid w:val="00986546"/>
    <w:rsid w:val="00986715"/>
    <w:rsid w:val="00986FBC"/>
    <w:rsid w:val="0098727E"/>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4126"/>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2F"/>
    <w:rsid w:val="009A3BEB"/>
    <w:rsid w:val="009A3C5E"/>
    <w:rsid w:val="009A3C6C"/>
    <w:rsid w:val="009A475A"/>
    <w:rsid w:val="009A4827"/>
    <w:rsid w:val="009A4AF8"/>
    <w:rsid w:val="009A4C83"/>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59C"/>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26A8"/>
    <w:rsid w:val="009C32C6"/>
    <w:rsid w:val="009C3EAF"/>
    <w:rsid w:val="009C4901"/>
    <w:rsid w:val="009C4A9F"/>
    <w:rsid w:val="009C4B1C"/>
    <w:rsid w:val="009C4C25"/>
    <w:rsid w:val="009C4E33"/>
    <w:rsid w:val="009C521B"/>
    <w:rsid w:val="009C5872"/>
    <w:rsid w:val="009D0A9D"/>
    <w:rsid w:val="009D0F82"/>
    <w:rsid w:val="009D1933"/>
    <w:rsid w:val="009D2325"/>
    <w:rsid w:val="009D4190"/>
    <w:rsid w:val="009D4746"/>
    <w:rsid w:val="009D4A32"/>
    <w:rsid w:val="009D4D1D"/>
    <w:rsid w:val="009D4F6C"/>
    <w:rsid w:val="009D56F0"/>
    <w:rsid w:val="009D5DE3"/>
    <w:rsid w:val="009D622B"/>
    <w:rsid w:val="009D687E"/>
    <w:rsid w:val="009D6E00"/>
    <w:rsid w:val="009D6E6F"/>
    <w:rsid w:val="009D7CB4"/>
    <w:rsid w:val="009D7CC6"/>
    <w:rsid w:val="009E030C"/>
    <w:rsid w:val="009E0CCC"/>
    <w:rsid w:val="009E0E38"/>
    <w:rsid w:val="009E1295"/>
    <w:rsid w:val="009E1800"/>
    <w:rsid w:val="009E1908"/>
    <w:rsid w:val="009E19CE"/>
    <w:rsid w:val="009E1D96"/>
    <w:rsid w:val="009E2720"/>
    <w:rsid w:val="009E31BC"/>
    <w:rsid w:val="009E3651"/>
    <w:rsid w:val="009E37BC"/>
    <w:rsid w:val="009E3BEC"/>
    <w:rsid w:val="009E3E4E"/>
    <w:rsid w:val="009E411A"/>
    <w:rsid w:val="009E47EC"/>
    <w:rsid w:val="009E4B79"/>
    <w:rsid w:val="009E4DDF"/>
    <w:rsid w:val="009E53F4"/>
    <w:rsid w:val="009E5724"/>
    <w:rsid w:val="009E5B60"/>
    <w:rsid w:val="009E5C46"/>
    <w:rsid w:val="009E6937"/>
    <w:rsid w:val="009E6FAD"/>
    <w:rsid w:val="009E70CE"/>
    <w:rsid w:val="009E7748"/>
    <w:rsid w:val="009E78F8"/>
    <w:rsid w:val="009E7B85"/>
    <w:rsid w:val="009E7D5E"/>
    <w:rsid w:val="009F0132"/>
    <w:rsid w:val="009F01E9"/>
    <w:rsid w:val="009F0226"/>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8C7"/>
    <w:rsid w:val="009F4CE1"/>
    <w:rsid w:val="009F530B"/>
    <w:rsid w:val="009F5A6F"/>
    <w:rsid w:val="009F5EB5"/>
    <w:rsid w:val="009F6AC9"/>
    <w:rsid w:val="009F794D"/>
    <w:rsid w:val="009F7BE6"/>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0C53"/>
    <w:rsid w:val="00A110FA"/>
    <w:rsid w:val="00A11282"/>
    <w:rsid w:val="00A1156D"/>
    <w:rsid w:val="00A11972"/>
    <w:rsid w:val="00A11B82"/>
    <w:rsid w:val="00A11D5F"/>
    <w:rsid w:val="00A11F36"/>
    <w:rsid w:val="00A122D3"/>
    <w:rsid w:val="00A127E9"/>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6E9"/>
    <w:rsid w:val="00A2083F"/>
    <w:rsid w:val="00A20D39"/>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6F1"/>
    <w:rsid w:val="00A27936"/>
    <w:rsid w:val="00A2797A"/>
    <w:rsid w:val="00A27A1B"/>
    <w:rsid w:val="00A30519"/>
    <w:rsid w:val="00A309B1"/>
    <w:rsid w:val="00A309B5"/>
    <w:rsid w:val="00A312C7"/>
    <w:rsid w:val="00A313D8"/>
    <w:rsid w:val="00A31D66"/>
    <w:rsid w:val="00A31E5C"/>
    <w:rsid w:val="00A324FA"/>
    <w:rsid w:val="00A325A4"/>
    <w:rsid w:val="00A32940"/>
    <w:rsid w:val="00A32BF6"/>
    <w:rsid w:val="00A32DE3"/>
    <w:rsid w:val="00A32F1B"/>
    <w:rsid w:val="00A33026"/>
    <w:rsid w:val="00A331F5"/>
    <w:rsid w:val="00A33325"/>
    <w:rsid w:val="00A33607"/>
    <w:rsid w:val="00A336A5"/>
    <w:rsid w:val="00A33947"/>
    <w:rsid w:val="00A34384"/>
    <w:rsid w:val="00A3446C"/>
    <w:rsid w:val="00A34C2C"/>
    <w:rsid w:val="00A34D2B"/>
    <w:rsid w:val="00A35B51"/>
    <w:rsid w:val="00A35DF9"/>
    <w:rsid w:val="00A36275"/>
    <w:rsid w:val="00A36983"/>
    <w:rsid w:val="00A36ACD"/>
    <w:rsid w:val="00A37297"/>
    <w:rsid w:val="00A37A57"/>
    <w:rsid w:val="00A37B05"/>
    <w:rsid w:val="00A37CD9"/>
    <w:rsid w:val="00A40208"/>
    <w:rsid w:val="00A40CAB"/>
    <w:rsid w:val="00A40CFF"/>
    <w:rsid w:val="00A4107E"/>
    <w:rsid w:val="00A4111F"/>
    <w:rsid w:val="00A41213"/>
    <w:rsid w:val="00A415E5"/>
    <w:rsid w:val="00A4179C"/>
    <w:rsid w:val="00A41893"/>
    <w:rsid w:val="00A41A12"/>
    <w:rsid w:val="00A41E09"/>
    <w:rsid w:val="00A4295E"/>
    <w:rsid w:val="00A42994"/>
    <w:rsid w:val="00A43072"/>
    <w:rsid w:val="00A432CC"/>
    <w:rsid w:val="00A43335"/>
    <w:rsid w:val="00A434F5"/>
    <w:rsid w:val="00A438A8"/>
    <w:rsid w:val="00A4393C"/>
    <w:rsid w:val="00A43F97"/>
    <w:rsid w:val="00A4423F"/>
    <w:rsid w:val="00A4579D"/>
    <w:rsid w:val="00A45828"/>
    <w:rsid w:val="00A45C54"/>
    <w:rsid w:val="00A46802"/>
    <w:rsid w:val="00A4691B"/>
    <w:rsid w:val="00A46A3D"/>
    <w:rsid w:val="00A46CBB"/>
    <w:rsid w:val="00A47639"/>
    <w:rsid w:val="00A477DD"/>
    <w:rsid w:val="00A47D79"/>
    <w:rsid w:val="00A47FEC"/>
    <w:rsid w:val="00A5092A"/>
    <w:rsid w:val="00A51837"/>
    <w:rsid w:val="00A51AD3"/>
    <w:rsid w:val="00A51AE7"/>
    <w:rsid w:val="00A51DBE"/>
    <w:rsid w:val="00A51DFA"/>
    <w:rsid w:val="00A52A8E"/>
    <w:rsid w:val="00A52D21"/>
    <w:rsid w:val="00A5307C"/>
    <w:rsid w:val="00A5342B"/>
    <w:rsid w:val="00A53BAA"/>
    <w:rsid w:val="00A53F03"/>
    <w:rsid w:val="00A5467A"/>
    <w:rsid w:val="00A54B32"/>
    <w:rsid w:val="00A54F2A"/>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06B"/>
    <w:rsid w:val="00A630CD"/>
    <w:rsid w:val="00A63150"/>
    <w:rsid w:val="00A63612"/>
    <w:rsid w:val="00A63BDE"/>
    <w:rsid w:val="00A6480F"/>
    <w:rsid w:val="00A64830"/>
    <w:rsid w:val="00A64AE3"/>
    <w:rsid w:val="00A65435"/>
    <w:rsid w:val="00A65759"/>
    <w:rsid w:val="00A657C6"/>
    <w:rsid w:val="00A658A6"/>
    <w:rsid w:val="00A659F7"/>
    <w:rsid w:val="00A662BB"/>
    <w:rsid w:val="00A66525"/>
    <w:rsid w:val="00A6773D"/>
    <w:rsid w:val="00A6795A"/>
    <w:rsid w:val="00A67A92"/>
    <w:rsid w:val="00A67AAF"/>
    <w:rsid w:val="00A70457"/>
    <w:rsid w:val="00A704C4"/>
    <w:rsid w:val="00A70D38"/>
    <w:rsid w:val="00A70F33"/>
    <w:rsid w:val="00A7117A"/>
    <w:rsid w:val="00A71219"/>
    <w:rsid w:val="00A7121F"/>
    <w:rsid w:val="00A71244"/>
    <w:rsid w:val="00A718F3"/>
    <w:rsid w:val="00A72545"/>
    <w:rsid w:val="00A72730"/>
    <w:rsid w:val="00A729A4"/>
    <w:rsid w:val="00A729F1"/>
    <w:rsid w:val="00A72CF5"/>
    <w:rsid w:val="00A72EC9"/>
    <w:rsid w:val="00A72ECB"/>
    <w:rsid w:val="00A73E0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77DE7"/>
    <w:rsid w:val="00A802A3"/>
    <w:rsid w:val="00A8150C"/>
    <w:rsid w:val="00A81756"/>
    <w:rsid w:val="00A8191F"/>
    <w:rsid w:val="00A81A8A"/>
    <w:rsid w:val="00A8201C"/>
    <w:rsid w:val="00A822CC"/>
    <w:rsid w:val="00A82488"/>
    <w:rsid w:val="00A82CC5"/>
    <w:rsid w:val="00A82F38"/>
    <w:rsid w:val="00A82F3A"/>
    <w:rsid w:val="00A8302C"/>
    <w:rsid w:val="00A8326C"/>
    <w:rsid w:val="00A83626"/>
    <w:rsid w:val="00A83C11"/>
    <w:rsid w:val="00A83ED2"/>
    <w:rsid w:val="00A85028"/>
    <w:rsid w:val="00A850FD"/>
    <w:rsid w:val="00A856C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2C6"/>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1F8F"/>
    <w:rsid w:val="00AA2003"/>
    <w:rsid w:val="00AA209B"/>
    <w:rsid w:val="00AA2442"/>
    <w:rsid w:val="00AA26D4"/>
    <w:rsid w:val="00AA2CAC"/>
    <w:rsid w:val="00AA2F8F"/>
    <w:rsid w:val="00AA340A"/>
    <w:rsid w:val="00AA36B8"/>
    <w:rsid w:val="00AA3BAC"/>
    <w:rsid w:val="00AA3C62"/>
    <w:rsid w:val="00AA485B"/>
    <w:rsid w:val="00AA4FAE"/>
    <w:rsid w:val="00AA4FC3"/>
    <w:rsid w:val="00AA54F4"/>
    <w:rsid w:val="00AA568F"/>
    <w:rsid w:val="00AA58F5"/>
    <w:rsid w:val="00AA5D82"/>
    <w:rsid w:val="00AA62F5"/>
    <w:rsid w:val="00AA68C6"/>
    <w:rsid w:val="00AA6C8C"/>
    <w:rsid w:val="00AA6F6B"/>
    <w:rsid w:val="00AA7214"/>
    <w:rsid w:val="00AA7C36"/>
    <w:rsid w:val="00AA7F2A"/>
    <w:rsid w:val="00AB0BA1"/>
    <w:rsid w:val="00AB0FC3"/>
    <w:rsid w:val="00AB1128"/>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4DE"/>
    <w:rsid w:val="00AB7731"/>
    <w:rsid w:val="00AC0392"/>
    <w:rsid w:val="00AC15F3"/>
    <w:rsid w:val="00AC172A"/>
    <w:rsid w:val="00AC1D3B"/>
    <w:rsid w:val="00AC1FF3"/>
    <w:rsid w:val="00AC20B3"/>
    <w:rsid w:val="00AC259F"/>
    <w:rsid w:val="00AC28A9"/>
    <w:rsid w:val="00AC2DCD"/>
    <w:rsid w:val="00AC38DE"/>
    <w:rsid w:val="00AC3A5D"/>
    <w:rsid w:val="00AC3CBA"/>
    <w:rsid w:val="00AC4153"/>
    <w:rsid w:val="00AC4491"/>
    <w:rsid w:val="00AC4A11"/>
    <w:rsid w:val="00AC508F"/>
    <w:rsid w:val="00AC5C7A"/>
    <w:rsid w:val="00AC5DCE"/>
    <w:rsid w:val="00AC5E96"/>
    <w:rsid w:val="00AC5F78"/>
    <w:rsid w:val="00AC5FA3"/>
    <w:rsid w:val="00AC6622"/>
    <w:rsid w:val="00AC6667"/>
    <w:rsid w:val="00AC6744"/>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832"/>
    <w:rsid w:val="00AD4DC3"/>
    <w:rsid w:val="00AD4E06"/>
    <w:rsid w:val="00AD5A95"/>
    <w:rsid w:val="00AD5DB3"/>
    <w:rsid w:val="00AD67BB"/>
    <w:rsid w:val="00AD6831"/>
    <w:rsid w:val="00AD6B3E"/>
    <w:rsid w:val="00AD6C61"/>
    <w:rsid w:val="00AD6EEF"/>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82C"/>
    <w:rsid w:val="00AE5A65"/>
    <w:rsid w:val="00AE6E8A"/>
    <w:rsid w:val="00AE6F55"/>
    <w:rsid w:val="00AE7079"/>
    <w:rsid w:val="00AE732B"/>
    <w:rsid w:val="00AE7942"/>
    <w:rsid w:val="00AE7996"/>
    <w:rsid w:val="00AE7BC2"/>
    <w:rsid w:val="00AF0176"/>
    <w:rsid w:val="00AF0318"/>
    <w:rsid w:val="00AF042F"/>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65B"/>
    <w:rsid w:val="00AF49A6"/>
    <w:rsid w:val="00AF58BA"/>
    <w:rsid w:val="00AF5B93"/>
    <w:rsid w:val="00AF5CC9"/>
    <w:rsid w:val="00AF5D9F"/>
    <w:rsid w:val="00AF65E0"/>
    <w:rsid w:val="00AF684F"/>
    <w:rsid w:val="00AF6B13"/>
    <w:rsid w:val="00AF6E52"/>
    <w:rsid w:val="00AF70B9"/>
    <w:rsid w:val="00AF743B"/>
    <w:rsid w:val="00AF75B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4AA0"/>
    <w:rsid w:val="00B0501D"/>
    <w:rsid w:val="00B05433"/>
    <w:rsid w:val="00B05B38"/>
    <w:rsid w:val="00B05D2C"/>
    <w:rsid w:val="00B07109"/>
    <w:rsid w:val="00B07243"/>
    <w:rsid w:val="00B07AC8"/>
    <w:rsid w:val="00B07B03"/>
    <w:rsid w:val="00B07E76"/>
    <w:rsid w:val="00B1022D"/>
    <w:rsid w:val="00B102AD"/>
    <w:rsid w:val="00B10C67"/>
    <w:rsid w:val="00B11063"/>
    <w:rsid w:val="00B11091"/>
    <w:rsid w:val="00B1134B"/>
    <w:rsid w:val="00B1144B"/>
    <w:rsid w:val="00B1212B"/>
    <w:rsid w:val="00B12D83"/>
    <w:rsid w:val="00B13328"/>
    <w:rsid w:val="00B13809"/>
    <w:rsid w:val="00B13A88"/>
    <w:rsid w:val="00B13B64"/>
    <w:rsid w:val="00B13F9D"/>
    <w:rsid w:val="00B1438A"/>
    <w:rsid w:val="00B144EC"/>
    <w:rsid w:val="00B15388"/>
    <w:rsid w:val="00B154D7"/>
    <w:rsid w:val="00B1608F"/>
    <w:rsid w:val="00B160B8"/>
    <w:rsid w:val="00B164C6"/>
    <w:rsid w:val="00B166D0"/>
    <w:rsid w:val="00B168CF"/>
    <w:rsid w:val="00B16A78"/>
    <w:rsid w:val="00B16B92"/>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591D"/>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DCC"/>
    <w:rsid w:val="00B33F10"/>
    <w:rsid w:val="00B3430F"/>
    <w:rsid w:val="00B343E7"/>
    <w:rsid w:val="00B3454D"/>
    <w:rsid w:val="00B348AC"/>
    <w:rsid w:val="00B349EE"/>
    <w:rsid w:val="00B35421"/>
    <w:rsid w:val="00B360CE"/>
    <w:rsid w:val="00B3687B"/>
    <w:rsid w:val="00B3786A"/>
    <w:rsid w:val="00B37C61"/>
    <w:rsid w:val="00B37CE8"/>
    <w:rsid w:val="00B40082"/>
    <w:rsid w:val="00B40713"/>
    <w:rsid w:val="00B40954"/>
    <w:rsid w:val="00B40AD1"/>
    <w:rsid w:val="00B40FAD"/>
    <w:rsid w:val="00B41119"/>
    <w:rsid w:val="00B41602"/>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B64"/>
    <w:rsid w:val="00B46BFC"/>
    <w:rsid w:val="00B474B0"/>
    <w:rsid w:val="00B47749"/>
    <w:rsid w:val="00B47888"/>
    <w:rsid w:val="00B47FDC"/>
    <w:rsid w:val="00B50351"/>
    <w:rsid w:val="00B50995"/>
    <w:rsid w:val="00B50BF1"/>
    <w:rsid w:val="00B50D3F"/>
    <w:rsid w:val="00B510B2"/>
    <w:rsid w:val="00B514D7"/>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51A"/>
    <w:rsid w:val="00B577B4"/>
    <w:rsid w:val="00B6113A"/>
    <w:rsid w:val="00B61F00"/>
    <w:rsid w:val="00B62128"/>
    <w:rsid w:val="00B62138"/>
    <w:rsid w:val="00B626B1"/>
    <w:rsid w:val="00B62A97"/>
    <w:rsid w:val="00B62F0C"/>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4BD"/>
    <w:rsid w:val="00B706F3"/>
    <w:rsid w:val="00B70CB8"/>
    <w:rsid w:val="00B71A82"/>
    <w:rsid w:val="00B71CEF"/>
    <w:rsid w:val="00B72693"/>
    <w:rsid w:val="00B73719"/>
    <w:rsid w:val="00B74019"/>
    <w:rsid w:val="00B740E2"/>
    <w:rsid w:val="00B744BC"/>
    <w:rsid w:val="00B745A3"/>
    <w:rsid w:val="00B746CC"/>
    <w:rsid w:val="00B74EEB"/>
    <w:rsid w:val="00B758E1"/>
    <w:rsid w:val="00B75EB7"/>
    <w:rsid w:val="00B7628E"/>
    <w:rsid w:val="00B762A1"/>
    <w:rsid w:val="00B76840"/>
    <w:rsid w:val="00B76B57"/>
    <w:rsid w:val="00B76CDA"/>
    <w:rsid w:val="00B76DBC"/>
    <w:rsid w:val="00B770D7"/>
    <w:rsid w:val="00B77411"/>
    <w:rsid w:val="00B77ED7"/>
    <w:rsid w:val="00B800B0"/>
    <w:rsid w:val="00B8019B"/>
    <w:rsid w:val="00B801B6"/>
    <w:rsid w:val="00B8036E"/>
    <w:rsid w:val="00B80AFA"/>
    <w:rsid w:val="00B80FF0"/>
    <w:rsid w:val="00B81177"/>
    <w:rsid w:val="00B8162A"/>
    <w:rsid w:val="00B81EFF"/>
    <w:rsid w:val="00B820DE"/>
    <w:rsid w:val="00B82910"/>
    <w:rsid w:val="00B837C1"/>
    <w:rsid w:val="00B83AEF"/>
    <w:rsid w:val="00B83B55"/>
    <w:rsid w:val="00B83EAD"/>
    <w:rsid w:val="00B84758"/>
    <w:rsid w:val="00B8484F"/>
    <w:rsid w:val="00B84B3E"/>
    <w:rsid w:val="00B850D9"/>
    <w:rsid w:val="00B85E34"/>
    <w:rsid w:val="00B86550"/>
    <w:rsid w:val="00B865EB"/>
    <w:rsid w:val="00B8671F"/>
    <w:rsid w:val="00B86994"/>
    <w:rsid w:val="00B869A8"/>
    <w:rsid w:val="00B86B65"/>
    <w:rsid w:val="00B86D53"/>
    <w:rsid w:val="00B872A0"/>
    <w:rsid w:val="00B87995"/>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289"/>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F74"/>
    <w:rsid w:val="00BA5697"/>
    <w:rsid w:val="00BA5971"/>
    <w:rsid w:val="00BA59C2"/>
    <w:rsid w:val="00BA5BDE"/>
    <w:rsid w:val="00BA5F68"/>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16"/>
    <w:rsid w:val="00BB244E"/>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516"/>
    <w:rsid w:val="00BB5ED7"/>
    <w:rsid w:val="00BB6801"/>
    <w:rsid w:val="00BB71D7"/>
    <w:rsid w:val="00BB7280"/>
    <w:rsid w:val="00BB7312"/>
    <w:rsid w:val="00BB7B3C"/>
    <w:rsid w:val="00BB7C33"/>
    <w:rsid w:val="00BB7F13"/>
    <w:rsid w:val="00BC0096"/>
    <w:rsid w:val="00BC031E"/>
    <w:rsid w:val="00BC0363"/>
    <w:rsid w:val="00BC0914"/>
    <w:rsid w:val="00BC1D76"/>
    <w:rsid w:val="00BC1F69"/>
    <w:rsid w:val="00BC20D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2B35"/>
    <w:rsid w:val="00BD34C0"/>
    <w:rsid w:val="00BD354F"/>
    <w:rsid w:val="00BD35BB"/>
    <w:rsid w:val="00BD39BE"/>
    <w:rsid w:val="00BD4585"/>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2BE"/>
    <w:rsid w:val="00BE43C0"/>
    <w:rsid w:val="00BE44F3"/>
    <w:rsid w:val="00BE4A8B"/>
    <w:rsid w:val="00BE4B7E"/>
    <w:rsid w:val="00BE4C08"/>
    <w:rsid w:val="00BE507C"/>
    <w:rsid w:val="00BE53A5"/>
    <w:rsid w:val="00BE54D5"/>
    <w:rsid w:val="00BE57ED"/>
    <w:rsid w:val="00BE5B27"/>
    <w:rsid w:val="00BE5E09"/>
    <w:rsid w:val="00BE5E93"/>
    <w:rsid w:val="00BE62F3"/>
    <w:rsid w:val="00BE68CB"/>
    <w:rsid w:val="00BE6A77"/>
    <w:rsid w:val="00BE702F"/>
    <w:rsid w:val="00BE79A6"/>
    <w:rsid w:val="00BF015E"/>
    <w:rsid w:val="00BF01DF"/>
    <w:rsid w:val="00BF032A"/>
    <w:rsid w:val="00BF0BA8"/>
    <w:rsid w:val="00BF2E33"/>
    <w:rsid w:val="00BF2FBF"/>
    <w:rsid w:val="00BF35BC"/>
    <w:rsid w:val="00BF3B22"/>
    <w:rsid w:val="00BF4100"/>
    <w:rsid w:val="00BF4458"/>
    <w:rsid w:val="00BF486D"/>
    <w:rsid w:val="00BF48C5"/>
    <w:rsid w:val="00BF48FA"/>
    <w:rsid w:val="00BF497C"/>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3759"/>
    <w:rsid w:val="00C04999"/>
    <w:rsid w:val="00C04B5D"/>
    <w:rsid w:val="00C04F87"/>
    <w:rsid w:val="00C0531F"/>
    <w:rsid w:val="00C05DFF"/>
    <w:rsid w:val="00C07324"/>
    <w:rsid w:val="00C07789"/>
    <w:rsid w:val="00C07812"/>
    <w:rsid w:val="00C0787F"/>
    <w:rsid w:val="00C07A37"/>
    <w:rsid w:val="00C1093B"/>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8B1"/>
    <w:rsid w:val="00C16F1C"/>
    <w:rsid w:val="00C16F6F"/>
    <w:rsid w:val="00C17125"/>
    <w:rsid w:val="00C17516"/>
    <w:rsid w:val="00C17B7F"/>
    <w:rsid w:val="00C17CB3"/>
    <w:rsid w:val="00C20188"/>
    <w:rsid w:val="00C203F4"/>
    <w:rsid w:val="00C208E1"/>
    <w:rsid w:val="00C20E48"/>
    <w:rsid w:val="00C211B9"/>
    <w:rsid w:val="00C21247"/>
    <w:rsid w:val="00C213A2"/>
    <w:rsid w:val="00C2140F"/>
    <w:rsid w:val="00C21772"/>
    <w:rsid w:val="00C21972"/>
    <w:rsid w:val="00C21BCB"/>
    <w:rsid w:val="00C222EF"/>
    <w:rsid w:val="00C226C7"/>
    <w:rsid w:val="00C23287"/>
    <w:rsid w:val="00C2388A"/>
    <w:rsid w:val="00C23B68"/>
    <w:rsid w:val="00C24116"/>
    <w:rsid w:val="00C24A80"/>
    <w:rsid w:val="00C24B57"/>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9E8"/>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037"/>
    <w:rsid w:val="00C43461"/>
    <w:rsid w:val="00C43B7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98E"/>
    <w:rsid w:val="00C514BC"/>
    <w:rsid w:val="00C51D3E"/>
    <w:rsid w:val="00C51F50"/>
    <w:rsid w:val="00C52B65"/>
    <w:rsid w:val="00C52CA6"/>
    <w:rsid w:val="00C52EB1"/>
    <w:rsid w:val="00C54CE2"/>
    <w:rsid w:val="00C54EA0"/>
    <w:rsid w:val="00C55272"/>
    <w:rsid w:val="00C554BD"/>
    <w:rsid w:val="00C562E1"/>
    <w:rsid w:val="00C56E31"/>
    <w:rsid w:val="00C5725B"/>
    <w:rsid w:val="00C573BA"/>
    <w:rsid w:val="00C577EA"/>
    <w:rsid w:val="00C57958"/>
    <w:rsid w:val="00C57A8B"/>
    <w:rsid w:val="00C57B09"/>
    <w:rsid w:val="00C602F7"/>
    <w:rsid w:val="00C60335"/>
    <w:rsid w:val="00C605C4"/>
    <w:rsid w:val="00C606AC"/>
    <w:rsid w:val="00C607D9"/>
    <w:rsid w:val="00C609FF"/>
    <w:rsid w:val="00C60A1C"/>
    <w:rsid w:val="00C6111E"/>
    <w:rsid w:val="00C6158E"/>
    <w:rsid w:val="00C61792"/>
    <w:rsid w:val="00C6194C"/>
    <w:rsid w:val="00C61EDD"/>
    <w:rsid w:val="00C6225C"/>
    <w:rsid w:val="00C63E9B"/>
    <w:rsid w:val="00C65023"/>
    <w:rsid w:val="00C65406"/>
    <w:rsid w:val="00C655FF"/>
    <w:rsid w:val="00C65BA6"/>
    <w:rsid w:val="00C65CFC"/>
    <w:rsid w:val="00C662EF"/>
    <w:rsid w:val="00C664B1"/>
    <w:rsid w:val="00C66753"/>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641"/>
    <w:rsid w:val="00C74A06"/>
    <w:rsid w:val="00C74ECF"/>
    <w:rsid w:val="00C757FD"/>
    <w:rsid w:val="00C75AC6"/>
    <w:rsid w:val="00C75AED"/>
    <w:rsid w:val="00C76A03"/>
    <w:rsid w:val="00C76ECB"/>
    <w:rsid w:val="00C77731"/>
    <w:rsid w:val="00C77FEF"/>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16E"/>
    <w:rsid w:val="00C85B84"/>
    <w:rsid w:val="00C85CAD"/>
    <w:rsid w:val="00C86031"/>
    <w:rsid w:val="00C86069"/>
    <w:rsid w:val="00C861ED"/>
    <w:rsid w:val="00C86F27"/>
    <w:rsid w:val="00C87318"/>
    <w:rsid w:val="00C87480"/>
    <w:rsid w:val="00C8776C"/>
    <w:rsid w:val="00C87AF6"/>
    <w:rsid w:val="00C87CAA"/>
    <w:rsid w:val="00C91769"/>
    <w:rsid w:val="00C92271"/>
    <w:rsid w:val="00C9230C"/>
    <w:rsid w:val="00C928BE"/>
    <w:rsid w:val="00C929C8"/>
    <w:rsid w:val="00C9436B"/>
    <w:rsid w:val="00C947DC"/>
    <w:rsid w:val="00C94E00"/>
    <w:rsid w:val="00C95637"/>
    <w:rsid w:val="00C95DFF"/>
    <w:rsid w:val="00C96785"/>
    <w:rsid w:val="00C97627"/>
    <w:rsid w:val="00C97AD2"/>
    <w:rsid w:val="00C97B38"/>
    <w:rsid w:val="00C97CF9"/>
    <w:rsid w:val="00CA0A11"/>
    <w:rsid w:val="00CA0B6E"/>
    <w:rsid w:val="00CA1962"/>
    <w:rsid w:val="00CA1B2A"/>
    <w:rsid w:val="00CA2430"/>
    <w:rsid w:val="00CA2E87"/>
    <w:rsid w:val="00CA309B"/>
    <w:rsid w:val="00CA3358"/>
    <w:rsid w:val="00CA37EF"/>
    <w:rsid w:val="00CA434D"/>
    <w:rsid w:val="00CA4678"/>
    <w:rsid w:val="00CA4F66"/>
    <w:rsid w:val="00CA50CF"/>
    <w:rsid w:val="00CA512C"/>
    <w:rsid w:val="00CA54E1"/>
    <w:rsid w:val="00CA5DBE"/>
    <w:rsid w:val="00CA5F42"/>
    <w:rsid w:val="00CA61D2"/>
    <w:rsid w:val="00CA648A"/>
    <w:rsid w:val="00CA6D13"/>
    <w:rsid w:val="00CA6D3D"/>
    <w:rsid w:val="00CA6F62"/>
    <w:rsid w:val="00CA722D"/>
    <w:rsid w:val="00CA7674"/>
    <w:rsid w:val="00CA7ABD"/>
    <w:rsid w:val="00CA7BEA"/>
    <w:rsid w:val="00CA7EC6"/>
    <w:rsid w:val="00CB0105"/>
    <w:rsid w:val="00CB0922"/>
    <w:rsid w:val="00CB09B9"/>
    <w:rsid w:val="00CB1694"/>
    <w:rsid w:val="00CB1958"/>
    <w:rsid w:val="00CB19F3"/>
    <w:rsid w:val="00CB1DAB"/>
    <w:rsid w:val="00CB1F34"/>
    <w:rsid w:val="00CB2112"/>
    <w:rsid w:val="00CB28C5"/>
    <w:rsid w:val="00CB2F04"/>
    <w:rsid w:val="00CB3A6B"/>
    <w:rsid w:val="00CB3AD0"/>
    <w:rsid w:val="00CB3ADD"/>
    <w:rsid w:val="00CB3C42"/>
    <w:rsid w:val="00CB41E6"/>
    <w:rsid w:val="00CB439E"/>
    <w:rsid w:val="00CB5230"/>
    <w:rsid w:val="00CB55B0"/>
    <w:rsid w:val="00CB5761"/>
    <w:rsid w:val="00CB5852"/>
    <w:rsid w:val="00CB672C"/>
    <w:rsid w:val="00CB6821"/>
    <w:rsid w:val="00CB6C6F"/>
    <w:rsid w:val="00CB7010"/>
    <w:rsid w:val="00CB72A3"/>
    <w:rsid w:val="00CB7FB9"/>
    <w:rsid w:val="00CB7FC7"/>
    <w:rsid w:val="00CC009A"/>
    <w:rsid w:val="00CC01D6"/>
    <w:rsid w:val="00CC05E8"/>
    <w:rsid w:val="00CC091A"/>
    <w:rsid w:val="00CC09A7"/>
    <w:rsid w:val="00CC09B0"/>
    <w:rsid w:val="00CC0D12"/>
    <w:rsid w:val="00CC1299"/>
    <w:rsid w:val="00CC151B"/>
    <w:rsid w:val="00CC155A"/>
    <w:rsid w:val="00CC1712"/>
    <w:rsid w:val="00CC188A"/>
    <w:rsid w:val="00CC1962"/>
    <w:rsid w:val="00CC1C6D"/>
    <w:rsid w:val="00CC2462"/>
    <w:rsid w:val="00CC27FB"/>
    <w:rsid w:val="00CC36F6"/>
    <w:rsid w:val="00CC3CF3"/>
    <w:rsid w:val="00CC3FC5"/>
    <w:rsid w:val="00CC4C31"/>
    <w:rsid w:val="00CC4C7F"/>
    <w:rsid w:val="00CC5B49"/>
    <w:rsid w:val="00CC6FF1"/>
    <w:rsid w:val="00CC700A"/>
    <w:rsid w:val="00CC705D"/>
    <w:rsid w:val="00CC72B6"/>
    <w:rsid w:val="00CC74F5"/>
    <w:rsid w:val="00CC7748"/>
    <w:rsid w:val="00CC7A08"/>
    <w:rsid w:val="00CC7D91"/>
    <w:rsid w:val="00CD030A"/>
    <w:rsid w:val="00CD0471"/>
    <w:rsid w:val="00CD09C6"/>
    <w:rsid w:val="00CD0A0F"/>
    <w:rsid w:val="00CD0D78"/>
    <w:rsid w:val="00CD1DE4"/>
    <w:rsid w:val="00CD30D1"/>
    <w:rsid w:val="00CD3294"/>
    <w:rsid w:val="00CD35EF"/>
    <w:rsid w:val="00CD3C5B"/>
    <w:rsid w:val="00CD3E49"/>
    <w:rsid w:val="00CD4145"/>
    <w:rsid w:val="00CD47FB"/>
    <w:rsid w:val="00CD48E0"/>
    <w:rsid w:val="00CD5504"/>
    <w:rsid w:val="00CD572D"/>
    <w:rsid w:val="00CD577A"/>
    <w:rsid w:val="00CD5D18"/>
    <w:rsid w:val="00CD5E5A"/>
    <w:rsid w:val="00CD5E8A"/>
    <w:rsid w:val="00CD6049"/>
    <w:rsid w:val="00CD6054"/>
    <w:rsid w:val="00CD6482"/>
    <w:rsid w:val="00CD6746"/>
    <w:rsid w:val="00CD785E"/>
    <w:rsid w:val="00CE00CD"/>
    <w:rsid w:val="00CE02D1"/>
    <w:rsid w:val="00CE089D"/>
    <w:rsid w:val="00CE08D3"/>
    <w:rsid w:val="00CE0A9A"/>
    <w:rsid w:val="00CE0E22"/>
    <w:rsid w:val="00CE0FC6"/>
    <w:rsid w:val="00CE1267"/>
    <w:rsid w:val="00CE1692"/>
    <w:rsid w:val="00CE1A4A"/>
    <w:rsid w:val="00CE1B77"/>
    <w:rsid w:val="00CE1E03"/>
    <w:rsid w:val="00CE3229"/>
    <w:rsid w:val="00CE33C9"/>
    <w:rsid w:val="00CE3686"/>
    <w:rsid w:val="00CE3EFA"/>
    <w:rsid w:val="00CE4518"/>
    <w:rsid w:val="00CE4779"/>
    <w:rsid w:val="00CE514F"/>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40B1"/>
    <w:rsid w:val="00CF5358"/>
    <w:rsid w:val="00CF57F4"/>
    <w:rsid w:val="00CF5A20"/>
    <w:rsid w:val="00CF5C48"/>
    <w:rsid w:val="00CF5E94"/>
    <w:rsid w:val="00CF6498"/>
    <w:rsid w:val="00CF654D"/>
    <w:rsid w:val="00CF6F3E"/>
    <w:rsid w:val="00CF7203"/>
    <w:rsid w:val="00D0045F"/>
    <w:rsid w:val="00D0120C"/>
    <w:rsid w:val="00D01363"/>
    <w:rsid w:val="00D01473"/>
    <w:rsid w:val="00D014F5"/>
    <w:rsid w:val="00D01AC3"/>
    <w:rsid w:val="00D01B83"/>
    <w:rsid w:val="00D01B96"/>
    <w:rsid w:val="00D01BF0"/>
    <w:rsid w:val="00D0235A"/>
    <w:rsid w:val="00D025A6"/>
    <w:rsid w:val="00D02861"/>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37F"/>
    <w:rsid w:val="00D12CD2"/>
    <w:rsid w:val="00D12E39"/>
    <w:rsid w:val="00D12FFA"/>
    <w:rsid w:val="00D13102"/>
    <w:rsid w:val="00D13744"/>
    <w:rsid w:val="00D141BD"/>
    <w:rsid w:val="00D14412"/>
    <w:rsid w:val="00D1496A"/>
    <w:rsid w:val="00D15529"/>
    <w:rsid w:val="00D159EA"/>
    <w:rsid w:val="00D15F52"/>
    <w:rsid w:val="00D16088"/>
    <w:rsid w:val="00D16136"/>
    <w:rsid w:val="00D162F7"/>
    <w:rsid w:val="00D16361"/>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A76"/>
    <w:rsid w:val="00D21D42"/>
    <w:rsid w:val="00D22958"/>
    <w:rsid w:val="00D22A50"/>
    <w:rsid w:val="00D23969"/>
    <w:rsid w:val="00D23AA3"/>
    <w:rsid w:val="00D23F3D"/>
    <w:rsid w:val="00D242D9"/>
    <w:rsid w:val="00D24B65"/>
    <w:rsid w:val="00D24D7B"/>
    <w:rsid w:val="00D24DE0"/>
    <w:rsid w:val="00D252ED"/>
    <w:rsid w:val="00D25DB7"/>
    <w:rsid w:val="00D26663"/>
    <w:rsid w:val="00D27C84"/>
    <w:rsid w:val="00D27C97"/>
    <w:rsid w:val="00D27FFA"/>
    <w:rsid w:val="00D30008"/>
    <w:rsid w:val="00D30825"/>
    <w:rsid w:val="00D30A4D"/>
    <w:rsid w:val="00D30A9D"/>
    <w:rsid w:val="00D30B25"/>
    <w:rsid w:val="00D30D28"/>
    <w:rsid w:val="00D317C7"/>
    <w:rsid w:val="00D3205F"/>
    <w:rsid w:val="00D32288"/>
    <w:rsid w:val="00D3257F"/>
    <w:rsid w:val="00D3277C"/>
    <w:rsid w:val="00D328AB"/>
    <w:rsid w:val="00D32B20"/>
    <w:rsid w:val="00D32B3C"/>
    <w:rsid w:val="00D32EC2"/>
    <w:rsid w:val="00D32F0F"/>
    <w:rsid w:val="00D32F9E"/>
    <w:rsid w:val="00D33139"/>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1CE"/>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04C"/>
    <w:rsid w:val="00D46F55"/>
    <w:rsid w:val="00D46F86"/>
    <w:rsid w:val="00D47328"/>
    <w:rsid w:val="00D50A54"/>
    <w:rsid w:val="00D50FD2"/>
    <w:rsid w:val="00D5126C"/>
    <w:rsid w:val="00D51A6E"/>
    <w:rsid w:val="00D51E70"/>
    <w:rsid w:val="00D5340A"/>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C35"/>
    <w:rsid w:val="00D61D90"/>
    <w:rsid w:val="00D622B9"/>
    <w:rsid w:val="00D62C8E"/>
    <w:rsid w:val="00D62E97"/>
    <w:rsid w:val="00D6485A"/>
    <w:rsid w:val="00D6492E"/>
    <w:rsid w:val="00D64CEA"/>
    <w:rsid w:val="00D64DA8"/>
    <w:rsid w:val="00D66395"/>
    <w:rsid w:val="00D66CB7"/>
    <w:rsid w:val="00D6781E"/>
    <w:rsid w:val="00D67A31"/>
    <w:rsid w:val="00D702CB"/>
    <w:rsid w:val="00D7062A"/>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0FB"/>
    <w:rsid w:val="00D843F9"/>
    <w:rsid w:val="00D84979"/>
    <w:rsid w:val="00D84D15"/>
    <w:rsid w:val="00D851F4"/>
    <w:rsid w:val="00D85907"/>
    <w:rsid w:val="00D85DE0"/>
    <w:rsid w:val="00D85E62"/>
    <w:rsid w:val="00D85FA9"/>
    <w:rsid w:val="00D860FA"/>
    <w:rsid w:val="00D86455"/>
    <w:rsid w:val="00D864FE"/>
    <w:rsid w:val="00D866A4"/>
    <w:rsid w:val="00D86EE2"/>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3A1"/>
    <w:rsid w:val="00D96880"/>
    <w:rsid w:val="00D96A22"/>
    <w:rsid w:val="00D9728C"/>
    <w:rsid w:val="00D979FB"/>
    <w:rsid w:val="00D97A93"/>
    <w:rsid w:val="00D97A99"/>
    <w:rsid w:val="00D97C78"/>
    <w:rsid w:val="00D97DB4"/>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7A"/>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E8"/>
    <w:rsid w:val="00DC074A"/>
    <w:rsid w:val="00DC0837"/>
    <w:rsid w:val="00DC110A"/>
    <w:rsid w:val="00DC233A"/>
    <w:rsid w:val="00DC296D"/>
    <w:rsid w:val="00DC2A0B"/>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927"/>
    <w:rsid w:val="00DD3B08"/>
    <w:rsid w:val="00DD3F7E"/>
    <w:rsid w:val="00DD408F"/>
    <w:rsid w:val="00DD4711"/>
    <w:rsid w:val="00DD580F"/>
    <w:rsid w:val="00DD605E"/>
    <w:rsid w:val="00DD6F9E"/>
    <w:rsid w:val="00DD77D6"/>
    <w:rsid w:val="00DD7818"/>
    <w:rsid w:val="00DD79E8"/>
    <w:rsid w:val="00DD7E26"/>
    <w:rsid w:val="00DE0127"/>
    <w:rsid w:val="00DE04AA"/>
    <w:rsid w:val="00DE0B62"/>
    <w:rsid w:val="00DE1311"/>
    <w:rsid w:val="00DE1384"/>
    <w:rsid w:val="00DE1624"/>
    <w:rsid w:val="00DE19DC"/>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380"/>
    <w:rsid w:val="00E0089E"/>
    <w:rsid w:val="00E00D63"/>
    <w:rsid w:val="00E00E3F"/>
    <w:rsid w:val="00E00EB6"/>
    <w:rsid w:val="00E01D02"/>
    <w:rsid w:val="00E02071"/>
    <w:rsid w:val="00E021AB"/>
    <w:rsid w:val="00E02773"/>
    <w:rsid w:val="00E030AF"/>
    <w:rsid w:val="00E0370C"/>
    <w:rsid w:val="00E0392B"/>
    <w:rsid w:val="00E0406D"/>
    <w:rsid w:val="00E0431F"/>
    <w:rsid w:val="00E045F7"/>
    <w:rsid w:val="00E051FA"/>
    <w:rsid w:val="00E057AA"/>
    <w:rsid w:val="00E05B6E"/>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1F3"/>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4AC2"/>
    <w:rsid w:val="00E15043"/>
    <w:rsid w:val="00E15091"/>
    <w:rsid w:val="00E15622"/>
    <w:rsid w:val="00E16166"/>
    <w:rsid w:val="00E166C0"/>
    <w:rsid w:val="00E1696F"/>
    <w:rsid w:val="00E17267"/>
    <w:rsid w:val="00E20C83"/>
    <w:rsid w:val="00E20F95"/>
    <w:rsid w:val="00E2165B"/>
    <w:rsid w:val="00E2174F"/>
    <w:rsid w:val="00E218C0"/>
    <w:rsid w:val="00E21911"/>
    <w:rsid w:val="00E21F8D"/>
    <w:rsid w:val="00E221FC"/>
    <w:rsid w:val="00E22725"/>
    <w:rsid w:val="00E22836"/>
    <w:rsid w:val="00E229A0"/>
    <w:rsid w:val="00E229B2"/>
    <w:rsid w:val="00E22ADC"/>
    <w:rsid w:val="00E22B29"/>
    <w:rsid w:val="00E22C42"/>
    <w:rsid w:val="00E22D45"/>
    <w:rsid w:val="00E232D1"/>
    <w:rsid w:val="00E2399D"/>
    <w:rsid w:val="00E23B89"/>
    <w:rsid w:val="00E23C15"/>
    <w:rsid w:val="00E23E4F"/>
    <w:rsid w:val="00E2425A"/>
    <w:rsid w:val="00E245E0"/>
    <w:rsid w:val="00E24812"/>
    <w:rsid w:val="00E248C5"/>
    <w:rsid w:val="00E24A07"/>
    <w:rsid w:val="00E257DA"/>
    <w:rsid w:val="00E261E7"/>
    <w:rsid w:val="00E26CF2"/>
    <w:rsid w:val="00E271FF"/>
    <w:rsid w:val="00E2766E"/>
    <w:rsid w:val="00E277A5"/>
    <w:rsid w:val="00E300F2"/>
    <w:rsid w:val="00E30F98"/>
    <w:rsid w:val="00E30FF3"/>
    <w:rsid w:val="00E310DD"/>
    <w:rsid w:val="00E315EA"/>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1BE"/>
    <w:rsid w:val="00E3666E"/>
    <w:rsid w:val="00E36E6C"/>
    <w:rsid w:val="00E370BC"/>
    <w:rsid w:val="00E371C3"/>
    <w:rsid w:val="00E37956"/>
    <w:rsid w:val="00E40089"/>
    <w:rsid w:val="00E401F7"/>
    <w:rsid w:val="00E40AF6"/>
    <w:rsid w:val="00E40E63"/>
    <w:rsid w:val="00E411ED"/>
    <w:rsid w:val="00E4133D"/>
    <w:rsid w:val="00E41521"/>
    <w:rsid w:val="00E41ADF"/>
    <w:rsid w:val="00E41FA7"/>
    <w:rsid w:val="00E4308F"/>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A5"/>
    <w:rsid w:val="00E47F30"/>
    <w:rsid w:val="00E47F34"/>
    <w:rsid w:val="00E50706"/>
    <w:rsid w:val="00E5148F"/>
    <w:rsid w:val="00E51867"/>
    <w:rsid w:val="00E526E5"/>
    <w:rsid w:val="00E53878"/>
    <w:rsid w:val="00E53F04"/>
    <w:rsid w:val="00E5420C"/>
    <w:rsid w:val="00E5454F"/>
    <w:rsid w:val="00E54E54"/>
    <w:rsid w:val="00E55148"/>
    <w:rsid w:val="00E55541"/>
    <w:rsid w:val="00E55BCA"/>
    <w:rsid w:val="00E55F73"/>
    <w:rsid w:val="00E560B5"/>
    <w:rsid w:val="00E56EE8"/>
    <w:rsid w:val="00E574E8"/>
    <w:rsid w:val="00E579B2"/>
    <w:rsid w:val="00E60264"/>
    <w:rsid w:val="00E607CF"/>
    <w:rsid w:val="00E60A9C"/>
    <w:rsid w:val="00E60B1A"/>
    <w:rsid w:val="00E60D46"/>
    <w:rsid w:val="00E60DAC"/>
    <w:rsid w:val="00E60EFA"/>
    <w:rsid w:val="00E61097"/>
    <w:rsid w:val="00E61291"/>
    <w:rsid w:val="00E620ED"/>
    <w:rsid w:val="00E62684"/>
    <w:rsid w:val="00E62983"/>
    <w:rsid w:val="00E62FC8"/>
    <w:rsid w:val="00E63385"/>
    <w:rsid w:val="00E633B6"/>
    <w:rsid w:val="00E6355F"/>
    <w:rsid w:val="00E636BC"/>
    <w:rsid w:val="00E64202"/>
    <w:rsid w:val="00E645C5"/>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2FF1"/>
    <w:rsid w:val="00E73483"/>
    <w:rsid w:val="00E73BB1"/>
    <w:rsid w:val="00E73D50"/>
    <w:rsid w:val="00E7432C"/>
    <w:rsid w:val="00E74588"/>
    <w:rsid w:val="00E746AA"/>
    <w:rsid w:val="00E74736"/>
    <w:rsid w:val="00E74A72"/>
    <w:rsid w:val="00E756BB"/>
    <w:rsid w:val="00E75855"/>
    <w:rsid w:val="00E75DCE"/>
    <w:rsid w:val="00E75FCD"/>
    <w:rsid w:val="00E761D8"/>
    <w:rsid w:val="00E76856"/>
    <w:rsid w:val="00E76AC8"/>
    <w:rsid w:val="00E76B31"/>
    <w:rsid w:val="00E76F6B"/>
    <w:rsid w:val="00E80172"/>
    <w:rsid w:val="00E803B7"/>
    <w:rsid w:val="00E80BF6"/>
    <w:rsid w:val="00E80C0B"/>
    <w:rsid w:val="00E80C88"/>
    <w:rsid w:val="00E80DA9"/>
    <w:rsid w:val="00E80F13"/>
    <w:rsid w:val="00E81387"/>
    <w:rsid w:val="00E813AD"/>
    <w:rsid w:val="00E820F8"/>
    <w:rsid w:val="00E82F23"/>
    <w:rsid w:val="00E82FE3"/>
    <w:rsid w:val="00E83140"/>
    <w:rsid w:val="00E837DA"/>
    <w:rsid w:val="00E83AC7"/>
    <w:rsid w:val="00E842CC"/>
    <w:rsid w:val="00E847A0"/>
    <w:rsid w:val="00E84A73"/>
    <w:rsid w:val="00E8512F"/>
    <w:rsid w:val="00E853AA"/>
    <w:rsid w:val="00E85ADE"/>
    <w:rsid w:val="00E86350"/>
    <w:rsid w:val="00E866AB"/>
    <w:rsid w:val="00E86752"/>
    <w:rsid w:val="00E86959"/>
    <w:rsid w:val="00E87577"/>
    <w:rsid w:val="00E87891"/>
    <w:rsid w:val="00E87EEF"/>
    <w:rsid w:val="00E9176F"/>
    <w:rsid w:val="00E91D67"/>
    <w:rsid w:val="00E922D8"/>
    <w:rsid w:val="00E92603"/>
    <w:rsid w:val="00E927DD"/>
    <w:rsid w:val="00E928A3"/>
    <w:rsid w:val="00E92AE4"/>
    <w:rsid w:val="00E92BFE"/>
    <w:rsid w:val="00E932AF"/>
    <w:rsid w:val="00E936B1"/>
    <w:rsid w:val="00E93FD2"/>
    <w:rsid w:val="00E94099"/>
    <w:rsid w:val="00E94208"/>
    <w:rsid w:val="00E94A79"/>
    <w:rsid w:val="00E94F9D"/>
    <w:rsid w:val="00E958DB"/>
    <w:rsid w:val="00E95DA6"/>
    <w:rsid w:val="00E95EB4"/>
    <w:rsid w:val="00E95EF9"/>
    <w:rsid w:val="00E960E6"/>
    <w:rsid w:val="00E9616D"/>
    <w:rsid w:val="00E96518"/>
    <w:rsid w:val="00E96809"/>
    <w:rsid w:val="00E9681F"/>
    <w:rsid w:val="00E968F7"/>
    <w:rsid w:val="00EA043F"/>
    <w:rsid w:val="00EA07A4"/>
    <w:rsid w:val="00EA099F"/>
    <w:rsid w:val="00EA0C59"/>
    <w:rsid w:val="00EA0D49"/>
    <w:rsid w:val="00EA0F3D"/>
    <w:rsid w:val="00EA13EF"/>
    <w:rsid w:val="00EA1961"/>
    <w:rsid w:val="00EA1C27"/>
    <w:rsid w:val="00EA2086"/>
    <w:rsid w:val="00EA22E1"/>
    <w:rsid w:val="00EA2ABA"/>
    <w:rsid w:val="00EA309B"/>
    <w:rsid w:val="00EA3266"/>
    <w:rsid w:val="00EA359E"/>
    <w:rsid w:val="00EA38CB"/>
    <w:rsid w:val="00EA3AEF"/>
    <w:rsid w:val="00EA3E56"/>
    <w:rsid w:val="00EA412A"/>
    <w:rsid w:val="00EA4178"/>
    <w:rsid w:val="00EA4EE2"/>
    <w:rsid w:val="00EA512E"/>
    <w:rsid w:val="00EA5919"/>
    <w:rsid w:val="00EA5D61"/>
    <w:rsid w:val="00EA60D6"/>
    <w:rsid w:val="00EA61D3"/>
    <w:rsid w:val="00EA67CE"/>
    <w:rsid w:val="00EB012B"/>
    <w:rsid w:val="00EB082D"/>
    <w:rsid w:val="00EB147A"/>
    <w:rsid w:val="00EB297B"/>
    <w:rsid w:val="00EB311E"/>
    <w:rsid w:val="00EB32E0"/>
    <w:rsid w:val="00EB349C"/>
    <w:rsid w:val="00EB47CD"/>
    <w:rsid w:val="00EB4803"/>
    <w:rsid w:val="00EB4ED7"/>
    <w:rsid w:val="00EB53BB"/>
    <w:rsid w:val="00EB5660"/>
    <w:rsid w:val="00EB5739"/>
    <w:rsid w:val="00EB5C69"/>
    <w:rsid w:val="00EB6253"/>
    <w:rsid w:val="00EB657B"/>
    <w:rsid w:val="00EB6935"/>
    <w:rsid w:val="00EB69C9"/>
    <w:rsid w:val="00EB69CB"/>
    <w:rsid w:val="00EB774E"/>
    <w:rsid w:val="00EB7E6E"/>
    <w:rsid w:val="00EC019C"/>
    <w:rsid w:val="00EC01F2"/>
    <w:rsid w:val="00EC0955"/>
    <w:rsid w:val="00EC09F6"/>
    <w:rsid w:val="00EC100C"/>
    <w:rsid w:val="00EC1216"/>
    <w:rsid w:val="00EC1678"/>
    <w:rsid w:val="00EC1B22"/>
    <w:rsid w:val="00EC2555"/>
    <w:rsid w:val="00EC2CF8"/>
    <w:rsid w:val="00EC2D1B"/>
    <w:rsid w:val="00EC2E4F"/>
    <w:rsid w:val="00EC34D6"/>
    <w:rsid w:val="00EC3AFE"/>
    <w:rsid w:val="00EC404E"/>
    <w:rsid w:val="00EC51B5"/>
    <w:rsid w:val="00EC51FD"/>
    <w:rsid w:val="00EC546B"/>
    <w:rsid w:val="00EC6055"/>
    <w:rsid w:val="00EC65EB"/>
    <w:rsid w:val="00EC6E2F"/>
    <w:rsid w:val="00EC6E77"/>
    <w:rsid w:val="00EC6E9E"/>
    <w:rsid w:val="00EC6EB4"/>
    <w:rsid w:val="00EC70DE"/>
    <w:rsid w:val="00ED022E"/>
    <w:rsid w:val="00ED0773"/>
    <w:rsid w:val="00ED07BE"/>
    <w:rsid w:val="00ED141D"/>
    <w:rsid w:val="00ED1557"/>
    <w:rsid w:val="00ED17D0"/>
    <w:rsid w:val="00ED19FE"/>
    <w:rsid w:val="00ED1D66"/>
    <w:rsid w:val="00ED20A4"/>
    <w:rsid w:val="00ED2156"/>
    <w:rsid w:val="00ED21C9"/>
    <w:rsid w:val="00ED2564"/>
    <w:rsid w:val="00ED302C"/>
    <w:rsid w:val="00ED348C"/>
    <w:rsid w:val="00ED3711"/>
    <w:rsid w:val="00ED3952"/>
    <w:rsid w:val="00ED401D"/>
    <w:rsid w:val="00ED4121"/>
    <w:rsid w:val="00ED4811"/>
    <w:rsid w:val="00ED49D6"/>
    <w:rsid w:val="00ED4BFA"/>
    <w:rsid w:val="00ED4F42"/>
    <w:rsid w:val="00ED5268"/>
    <w:rsid w:val="00ED5D18"/>
    <w:rsid w:val="00ED5DBB"/>
    <w:rsid w:val="00ED6537"/>
    <w:rsid w:val="00ED6872"/>
    <w:rsid w:val="00ED6D22"/>
    <w:rsid w:val="00ED6E50"/>
    <w:rsid w:val="00ED78E0"/>
    <w:rsid w:val="00ED7CCB"/>
    <w:rsid w:val="00EE0226"/>
    <w:rsid w:val="00EE0A4F"/>
    <w:rsid w:val="00EE0D7B"/>
    <w:rsid w:val="00EE0F04"/>
    <w:rsid w:val="00EE12CF"/>
    <w:rsid w:val="00EE151A"/>
    <w:rsid w:val="00EE15BE"/>
    <w:rsid w:val="00EE187A"/>
    <w:rsid w:val="00EE1E2A"/>
    <w:rsid w:val="00EE3711"/>
    <w:rsid w:val="00EE380B"/>
    <w:rsid w:val="00EE3BC2"/>
    <w:rsid w:val="00EE44F8"/>
    <w:rsid w:val="00EE4D6E"/>
    <w:rsid w:val="00EE4F18"/>
    <w:rsid w:val="00EE5C6A"/>
    <w:rsid w:val="00EE5C91"/>
    <w:rsid w:val="00EE6047"/>
    <w:rsid w:val="00EE6159"/>
    <w:rsid w:val="00EE6C01"/>
    <w:rsid w:val="00EE7A57"/>
    <w:rsid w:val="00EF026B"/>
    <w:rsid w:val="00EF0400"/>
    <w:rsid w:val="00EF0968"/>
    <w:rsid w:val="00EF0F3E"/>
    <w:rsid w:val="00EF11EE"/>
    <w:rsid w:val="00EF14F8"/>
    <w:rsid w:val="00EF1EF8"/>
    <w:rsid w:val="00EF25A1"/>
    <w:rsid w:val="00EF26D4"/>
    <w:rsid w:val="00EF2CF9"/>
    <w:rsid w:val="00EF3545"/>
    <w:rsid w:val="00EF3F6C"/>
    <w:rsid w:val="00EF442B"/>
    <w:rsid w:val="00EF4775"/>
    <w:rsid w:val="00EF4837"/>
    <w:rsid w:val="00EF54E7"/>
    <w:rsid w:val="00EF5AB8"/>
    <w:rsid w:val="00EF5D7F"/>
    <w:rsid w:val="00EF6090"/>
    <w:rsid w:val="00EF6315"/>
    <w:rsid w:val="00EF66D0"/>
    <w:rsid w:val="00EF70C1"/>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4CC6"/>
    <w:rsid w:val="00F05167"/>
    <w:rsid w:val="00F05808"/>
    <w:rsid w:val="00F05B06"/>
    <w:rsid w:val="00F05EA7"/>
    <w:rsid w:val="00F0633A"/>
    <w:rsid w:val="00F066EB"/>
    <w:rsid w:val="00F06A6F"/>
    <w:rsid w:val="00F06DB1"/>
    <w:rsid w:val="00F07689"/>
    <w:rsid w:val="00F07ADA"/>
    <w:rsid w:val="00F07C3C"/>
    <w:rsid w:val="00F07F5F"/>
    <w:rsid w:val="00F10313"/>
    <w:rsid w:val="00F107CF"/>
    <w:rsid w:val="00F1098E"/>
    <w:rsid w:val="00F10B46"/>
    <w:rsid w:val="00F10C31"/>
    <w:rsid w:val="00F11344"/>
    <w:rsid w:val="00F1145F"/>
    <w:rsid w:val="00F11560"/>
    <w:rsid w:val="00F116EF"/>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51D"/>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B56"/>
    <w:rsid w:val="00F23C24"/>
    <w:rsid w:val="00F23D28"/>
    <w:rsid w:val="00F23DAD"/>
    <w:rsid w:val="00F24E46"/>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669"/>
    <w:rsid w:val="00F36499"/>
    <w:rsid w:val="00F3731F"/>
    <w:rsid w:val="00F374D0"/>
    <w:rsid w:val="00F403A3"/>
    <w:rsid w:val="00F404DE"/>
    <w:rsid w:val="00F40A99"/>
    <w:rsid w:val="00F40AB2"/>
    <w:rsid w:val="00F40AF9"/>
    <w:rsid w:val="00F40CEB"/>
    <w:rsid w:val="00F40F30"/>
    <w:rsid w:val="00F4102E"/>
    <w:rsid w:val="00F411B2"/>
    <w:rsid w:val="00F414AE"/>
    <w:rsid w:val="00F4172D"/>
    <w:rsid w:val="00F418D9"/>
    <w:rsid w:val="00F4200F"/>
    <w:rsid w:val="00F42064"/>
    <w:rsid w:val="00F42707"/>
    <w:rsid w:val="00F42B4E"/>
    <w:rsid w:val="00F4379E"/>
    <w:rsid w:val="00F4479D"/>
    <w:rsid w:val="00F44F40"/>
    <w:rsid w:val="00F454F1"/>
    <w:rsid w:val="00F45DB4"/>
    <w:rsid w:val="00F460FD"/>
    <w:rsid w:val="00F461C9"/>
    <w:rsid w:val="00F46A1E"/>
    <w:rsid w:val="00F4707B"/>
    <w:rsid w:val="00F471C7"/>
    <w:rsid w:val="00F47897"/>
    <w:rsid w:val="00F503B9"/>
    <w:rsid w:val="00F50B27"/>
    <w:rsid w:val="00F5158F"/>
    <w:rsid w:val="00F51BF4"/>
    <w:rsid w:val="00F51DAE"/>
    <w:rsid w:val="00F52BED"/>
    <w:rsid w:val="00F52F8B"/>
    <w:rsid w:val="00F53C50"/>
    <w:rsid w:val="00F541E4"/>
    <w:rsid w:val="00F54675"/>
    <w:rsid w:val="00F54810"/>
    <w:rsid w:val="00F54C34"/>
    <w:rsid w:val="00F54CEB"/>
    <w:rsid w:val="00F551D4"/>
    <w:rsid w:val="00F551DC"/>
    <w:rsid w:val="00F55570"/>
    <w:rsid w:val="00F55CB2"/>
    <w:rsid w:val="00F55FC3"/>
    <w:rsid w:val="00F56149"/>
    <w:rsid w:val="00F566CB"/>
    <w:rsid w:val="00F56731"/>
    <w:rsid w:val="00F5727D"/>
    <w:rsid w:val="00F57572"/>
    <w:rsid w:val="00F5797A"/>
    <w:rsid w:val="00F600C3"/>
    <w:rsid w:val="00F60283"/>
    <w:rsid w:val="00F606C5"/>
    <w:rsid w:val="00F60A83"/>
    <w:rsid w:val="00F60B66"/>
    <w:rsid w:val="00F60BF5"/>
    <w:rsid w:val="00F616FE"/>
    <w:rsid w:val="00F62B05"/>
    <w:rsid w:val="00F62BB6"/>
    <w:rsid w:val="00F63205"/>
    <w:rsid w:val="00F640F5"/>
    <w:rsid w:val="00F65EDB"/>
    <w:rsid w:val="00F660F0"/>
    <w:rsid w:val="00F66656"/>
    <w:rsid w:val="00F66AAE"/>
    <w:rsid w:val="00F671B6"/>
    <w:rsid w:val="00F671F9"/>
    <w:rsid w:val="00F70618"/>
    <w:rsid w:val="00F70774"/>
    <w:rsid w:val="00F70BEC"/>
    <w:rsid w:val="00F7143B"/>
    <w:rsid w:val="00F7147B"/>
    <w:rsid w:val="00F715A5"/>
    <w:rsid w:val="00F715F0"/>
    <w:rsid w:val="00F71708"/>
    <w:rsid w:val="00F71934"/>
    <w:rsid w:val="00F71A52"/>
    <w:rsid w:val="00F71BF2"/>
    <w:rsid w:val="00F71CD3"/>
    <w:rsid w:val="00F71D18"/>
    <w:rsid w:val="00F72014"/>
    <w:rsid w:val="00F72697"/>
    <w:rsid w:val="00F727EB"/>
    <w:rsid w:val="00F729D3"/>
    <w:rsid w:val="00F72B7A"/>
    <w:rsid w:val="00F72EC4"/>
    <w:rsid w:val="00F73168"/>
    <w:rsid w:val="00F7319D"/>
    <w:rsid w:val="00F73225"/>
    <w:rsid w:val="00F735B0"/>
    <w:rsid w:val="00F73E76"/>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4E9"/>
    <w:rsid w:val="00F81D66"/>
    <w:rsid w:val="00F82FE4"/>
    <w:rsid w:val="00F83523"/>
    <w:rsid w:val="00F835BD"/>
    <w:rsid w:val="00F83BB6"/>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5D5"/>
    <w:rsid w:val="00F946A1"/>
    <w:rsid w:val="00F94710"/>
    <w:rsid w:val="00F94C56"/>
    <w:rsid w:val="00F95082"/>
    <w:rsid w:val="00F9543D"/>
    <w:rsid w:val="00F968A0"/>
    <w:rsid w:val="00F96F33"/>
    <w:rsid w:val="00F971CC"/>
    <w:rsid w:val="00F97EBC"/>
    <w:rsid w:val="00FA0393"/>
    <w:rsid w:val="00FA03C3"/>
    <w:rsid w:val="00FA0822"/>
    <w:rsid w:val="00FA0A26"/>
    <w:rsid w:val="00FA147E"/>
    <w:rsid w:val="00FA16BF"/>
    <w:rsid w:val="00FA1876"/>
    <w:rsid w:val="00FA19DE"/>
    <w:rsid w:val="00FA1D4F"/>
    <w:rsid w:val="00FA2F85"/>
    <w:rsid w:val="00FA31FA"/>
    <w:rsid w:val="00FA33DD"/>
    <w:rsid w:val="00FA35F5"/>
    <w:rsid w:val="00FA36A2"/>
    <w:rsid w:val="00FA3856"/>
    <w:rsid w:val="00FA3B69"/>
    <w:rsid w:val="00FA3C38"/>
    <w:rsid w:val="00FA3ED4"/>
    <w:rsid w:val="00FA4D8E"/>
    <w:rsid w:val="00FA53B1"/>
    <w:rsid w:val="00FA54E9"/>
    <w:rsid w:val="00FA59BC"/>
    <w:rsid w:val="00FA5DBB"/>
    <w:rsid w:val="00FA5E99"/>
    <w:rsid w:val="00FA6221"/>
    <w:rsid w:val="00FA63C5"/>
    <w:rsid w:val="00FA68A5"/>
    <w:rsid w:val="00FA6B22"/>
    <w:rsid w:val="00FA6BE1"/>
    <w:rsid w:val="00FA74AE"/>
    <w:rsid w:val="00FA7696"/>
    <w:rsid w:val="00FA796D"/>
    <w:rsid w:val="00FA7BFA"/>
    <w:rsid w:val="00FA7CDB"/>
    <w:rsid w:val="00FB0069"/>
    <w:rsid w:val="00FB03BA"/>
    <w:rsid w:val="00FB0959"/>
    <w:rsid w:val="00FB0B9C"/>
    <w:rsid w:val="00FB0BCD"/>
    <w:rsid w:val="00FB10CB"/>
    <w:rsid w:val="00FB1309"/>
    <w:rsid w:val="00FB278F"/>
    <w:rsid w:val="00FB2A7A"/>
    <w:rsid w:val="00FB2C2A"/>
    <w:rsid w:val="00FB38A4"/>
    <w:rsid w:val="00FB38E5"/>
    <w:rsid w:val="00FB3F81"/>
    <w:rsid w:val="00FB4497"/>
    <w:rsid w:val="00FB4B85"/>
    <w:rsid w:val="00FB54AE"/>
    <w:rsid w:val="00FB54F7"/>
    <w:rsid w:val="00FB552C"/>
    <w:rsid w:val="00FB67D3"/>
    <w:rsid w:val="00FB69EE"/>
    <w:rsid w:val="00FB7C81"/>
    <w:rsid w:val="00FC0A68"/>
    <w:rsid w:val="00FC0DED"/>
    <w:rsid w:val="00FC12B1"/>
    <w:rsid w:val="00FC1CDC"/>
    <w:rsid w:val="00FC223A"/>
    <w:rsid w:val="00FC2486"/>
    <w:rsid w:val="00FC2695"/>
    <w:rsid w:val="00FC2991"/>
    <w:rsid w:val="00FC2B5D"/>
    <w:rsid w:val="00FC2F32"/>
    <w:rsid w:val="00FC3328"/>
    <w:rsid w:val="00FC3885"/>
    <w:rsid w:val="00FC3DAE"/>
    <w:rsid w:val="00FC4B95"/>
    <w:rsid w:val="00FC4DC7"/>
    <w:rsid w:val="00FC4E23"/>
    <w:rsid w:val="00FC57FC"/>
    <w:rsid w:val="00FC59B4"/>
    <w:rsid w:val="00FC5FEF"/>
    <w:rsid w:val="00FC64D5"/>
    <w:rsid w:val="00FC6B25"/>
    <w:rsid w:val="00FC76EB"/>
    <w:rsid w:val="00FC77CB"/>
    <w:rsid w:val="00FC7810"/>
    <w:rsid w:val="00FC7982"/>
    <w:rsid w:val="00FC7AA0"/>
    <w:rsid w:val="00FD00C2"/>
    <w:rsid w:val="00FD04B3"/>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DFC"/>
    <w:rsid w:val="00FD76F5"/>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40BD"/>
    <w:rsid w:val="00FE435D"/>
    <w:rsid w:val="00FE4743"/>
    <w:rsid w:val="00FE5906"/>
    <w:rsid w:val="00FE5E62"/>
    <w:rsid w:val="00FE6523"/>
    <w:rsid w:val="00FE6A1D"/>
    <w:rsid w:val="00FE7234"/>
    <w:rsid w:val="00FE7A21"/>
    <w:rsid w:val="00FF078A"/>
    <w:rsid w:val="00FF1799"/>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0F7"/>
    <w:rsid w:val="00FF62F3"/>
    <w:rsid w:val="00FF678F"/>
    <w:rsid w:val="00FF6CD1"/>
    <w:rsid w:val="00FF6F59"/>
    <w:rsid w:val="00FF7077"/>
    <w:rsid w:val="00FF7355"/>
    <w:rsid w:val="00FF75FC"/>
    <w:rsid w:val="00FF7A90"/>
    <w:rsid w:val="00FF7E4D"/>
    <w:rsid w:val="0115454E"/>
    <w:rsid w:val="011F1CEE"/>
    <w:rsid w:val="01242C11"/>
    <w:rsid w:val="013B5510"/>
    <w:rsid w:val="013D13C6"/>
    <w:rsid w:val="01422B07"/>
    <w:rsid w:val="01462EFE"/>
    <w:rsid w:val="015E0BE9"/>
    <w:rsid w:val="018F1416"/>
    <w:rsid w:val="01AB094A"/>
    <w:rsid w:val="01B306E4"/>
    <w:rsid w:val="01CA4B81"/>
    <w:rsid w:val="01D27A5F"/>
    <w:rsid w:val="0201766A"/>
    <w:rsid w:val="02151F95"/>
    <w:rsid w:val="022E47B0"/>
    <w:rsid w:val="02554999"/>
    <w:rsid w:val="02574326"/>
    <w:rsid w:val="025B75F9"/>
    <w:rsid w:val="02767EF6"/>
    <w:rsid w:val="0298735F"/>
    <w:rsid w:val="02B34E07"/>
    <w:rsid w:val="030B3123"/>
    <w:rsid w:val="030F5EB8"/>
    <w:rsid w:val="031B3D3A"/>
    <w:rsid w:val="03300F14"/>
    <w:rsid w:val="03382F46"/>
    <w:rsid w:val="033A53C5"/>
    <w:rsid w:val="033A53FA"/>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A05530"/>
    <w:rsid w:val="04B345F7"/>
    <w:rsid w:val="04BE7DD0"/>
    <w:rsid w:val="04EB3650"/>
    <w:rsid w:val="050D0125"/>
    <w:rsid w:val="054445DB"/>
    <w:rsid w:val="055A06C9"/>
    <w:rsid w:val="05702DF2"/>
    <w:rsid w:val="05733EFD"/>
    <w:rsid w:val="05804B74"/>
    <w:rsid w:val="058D2653"/>
    <w:rsid w:val="05A11E98"/>
    <w:rsid w:val="05C451FF"/>
    <w:rsid w:val="05EA3121"/>
    <w:rsid w:val="05EB37CA"/>
    <w:rsid w:val="05EF39F0"/>
    <w:rsid w:val="05F5374C"/>
    <w:rsid w:val="060D79A1"/>
    <w:rsid w:val="061E5BAD"/>
    <w:rsid w:val="06257099"/>
    <w:rsid w:val="067751BD"/>
    <w:rsid w:val="06CF7159"/>
    <w:rsid w:val="06D32D7E"/>
    <w:rsid w:val="06E21138"/>
    <w:rsid w:val="06E64C63"/>
    <w:rsid w:val="06F24EF2"/>
    <w:rsid w:val="07470651"/>
    <w:rsid w:val="074D4DAB"/>
    <w:rsid w:val="07AE7932"/>
    <w:rsid w:val="07B814E5"/>
    <w:rsid w:val="07D013A8"/>
    <w:rsid w:val="07D648D8"/>
    <w:rsid w:val="07FD44E9"/>
    <w:rsid w:val="0805407D"/>
    <w:rsid w:val="08127126"/>
    <w:rsid w:val="08132E8B"/>
    <w:rsid w:val="081D706E"/>
    <w:rsid w:val="085D519A"/>
    <w:rsid w:val="086D1BC3"/>
    <w:rsid w:val="08706B4B"/>
    <w:rsid w:val="088B79C8"/>
    <w:rsid w:val="08B52854"/>
    <w:rsid w:val="08CA0CC8"/>
    <w:rsid w:val="08CE61CB"/>
    <w:rsid w:val="08D2064E"/>
    <w:rsid w:val="08F44BC5"/>
    <w:rsid w:val="08FA203B"/>
    <w:rsid w:val="091C4E60"/>
    <w:rsid w:val="094B14E7"/>
    <w:rsid w:val="095256C8"/>
    <w:rsid w:val="09841AF3"/>
    <w:rsid w:val="09AB29D4"/>
    <w:rsid w:val="09B5127D"/>
    <w:rsid w:val="0A32370E"/>
    <w:rsid w:val="0A585A2D"/>
    <w:rsid w:val="0A594E3E"/>
    <w:rsid w:val="0A5C768D"/>
    <w:rsid w:val="0A6F50FD"/>
    <w:rsid w:val="0A895CF1"/>
    <w:rsid w:val="0A934843"/>
    <w:rsid w:val="0A9E4A8D"/>
    <w:rsid w:val="0A9F2012"/>
    <w:rsid w:val="0AAA6D9C"/>
    <w:rsid w:val="0AB218F9"/>
    <w:rsid w:val="0AB53627"/>
    <w:rsid w:val="0ACE1EAB"/>
    <w:rsid w:val="0AE65CB9"/>
    <w:rsid w:val="0AE96B11"/>
    <w:rsid w:val="0AFD09EB"/>
    <w:rsid w:val="0B07538C"/>
    <w:rsid w:val="0B1A274D"/>
    <w:rsid w:val="0B254ED4"/>
    <w:rsid w:val="0B2E5D46"/>
    <w:rsid w:val="0B3506F5"/>
    <w:rsid w:val="0B3A4E5B"/>
    <w:rsid w:val="0B5823AA"/>
    <w:rsid w:val="0B827907"/>
    <w:rsid w:val="0B8C4C1A"/>
    <w:rsid w:val="0B9549DB"/>
    <w:rsid w:val="0B9D13EC"/>
    <w:rsid w:val="0BA07E46"/>
    <w:rsid w:val="0BB10DC7"/>
    <w:rsid w:val="0BC032D6"/>
    <w:rsid w:val="0BC10793"/>
    <w:rsid w:val="0BDB1E35"/>
    <w:rsid w:val="0BDB6546"/>
    <w:rsid w:val="0C060DDB"/>
    <w:rsid w:val="0C195365"/>
    <w:rsid w:val="0C6F4E58"/>
    <w:rsid w:val="0CFB1DB9"/>
    <w:rsid w:val="0D220294"/>
    <w:rsid w:val="0D3A4A42"/>
    <w:rsid w:val="0D5773D6"/>
    <w:rsid w:val="0D594DB6"/>
    <w:rsid w:val="0D632B1E"/>
    <w:rsid w:val="0D7D7848"/>
    <w:rsid w:val="0D8E173E"/>
    <w:rsid w:val="0DA10A04"/>
    <w:rsid w:val="0DE14C3F"/>
    <w:rsid w:val="0DF13B47"/>
    <w:rsid w:val="0E0A5187"/>
    <w:rsid w:val="0E332166"/>
    <w:rsid w:val="0E3917FF"/>
    <w:rsid w:val="0E613656"/>
    <w:rsid w:val="0E72787E"/>
    <w:rsid w:val="0E9F5739"/>
    <w:rsid w:val="0EC3008E"/>
    <w:rsid w:val="0EDB339F"/>
    <w:rsid w:val="0F125211"/>
    <w:rsid w:val="0F152A9D"/>
    <w:rsid w:val="0F1E7B0D"/>
    <w:rsid w:val="0F2730B8"/>
    <w:rsid w:val="0F62047F"/>
    <w:rsid w:val="0F6B41F3"/>
    <w:rsid w:val="0F7A2097"/>
    <w:rsid w:val="0F7F1100"/>
    <w:rsid w:val="0F816B6A"/>
    <w:rsid w:val="0F82210C"/>
    <w:rsid w:val="0F950757"/>
    <w:rsid w:val="0FA36B70"/>
    <w:rsid w:val="0FA37671"/>
    <w:rsid w:val="0FAC2C6D"/>
    <w:rsid w:val="0FB70395"/>
    <w:rsid w:val="0FBA4112"/>
    <w:rsid w:val="0FBB0658"/>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B455AD"/>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614074"/>
    <w:rsid w:val="137A40BD"/>
    <w:rsid w:val="13992B75"/>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EF3B8A"/>
    <w:rsid w:val="14F44F2E"/>
    <w:rsid w:val="14FA6682"/>
    <w:rsid w:val="15416178"/>
    <w:rsid w:val="1561603B"/>
    <w:rsid w:val="15706877"/>
    <w:rsid w:val="158E0E99"/>
    <w:rsid w:val="158F48E5"/>
    <w:rsid w:val="15C94A90"/>
    <w:rsid w:val="15D74588"/>
    <w:rsid w:val="15EB4378"/>
    <w:rsid w:val="15EF5386"/>
    <w:rsid w:val="160B185E"/>
    <w:rsid w:val="1628036C"/>
    <w:rsid w:val="16435A3F"/>
    <w:rsid w:val="16682301"/>
    <w:rsid w:val="16704155"/>
    <w:rsid w:val="16796F0F"/>
    <w:rsid w:val="1688556A"/>
    <w:rsid w:val="16A00FDF"/>
    <w:rsid w:val="16A32AAC"/>
    <w:rsid w:val="16AF0615"/>
    <w:rsid w:val="16BD0B49"/>
    <w:rsid w:val="16D50CFC"/>
    <w:rsid w:val="16DD417E"/>
    <w:rsid w:val="16E33AB3"/>
    <w:rsid w:val="16EB76EF"/>
    <w:rsid w:val="170118CA"/>
    <w:rsid w:val="171B0546"/>
    <w:rsid w:val="17304A49"/>
    <w:rsid w:val="173353C2"/>
    <w:rsid w:val="17580847"/>
    <w:rsid w:val="17874ED3"/>
    <w:rsid w:val="17886A2C"/>
    <w:rsid w:val="178F26E7"/>
    <w:rsid w:val="17966843"/>
    <w:rsid w:val="17A9660F"/>
    <w:rsid w:val="17D80F4C"/>
    <w:rsid w:val="17DF562B"/>
    <w:rsid w:val="17E14521"/>
    <w:rsid w:val="18117661"/>
    <w:rsid w:val="181D23D4"/>
    <w:rsid w:val="18523ADE"/>
    <w:rsid w:val="1866694B"/>
    <w:rsid w:val="186C1ACE"/>
    <w:rsid w:val="188C6C7D"/>
    <w:rsid w:val="18960812"/>
    <w:rsid w:val="189C16A5"/>
    <w:rsid w:val="189C7EF6"/>
    <w:rsid w:val="18B04B4D"/>
    <w:rsid w:val="18E87E12"/>
    <w:rsid w:val="18F5052C"/>
    <w:rsid w:val="191D14D9"/>
    <w:rsid w:val="195529C1"/>
    <w:rsid w:val="19693EEF"/>
    <w:rsid w:val="196B5F41"/>
    <w:rsid w:val="196F6A9B"/>
    <w:rsid w:val="19D1732F"/>
    <w:rsid w:val="1A200A74"/>
    <w:rsid w:val="1A3055B8"/>
    <w:rsid w:val="1A5655AF"/>
    <w:rsid w:val="1A6B5CD7"/>
    <w:rsid w:val="1A9B675D"/>
    <w:rsid w:val="1AB64C0C"/>
    <w:rsid w:val="1ADE3E70"/>
    <w:rsid w:val="1AE42348"/>
    <w:rsid w:val="1AF2383D"/>
    <w:rsid w:val="1B0E0039"/>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8A1EF5"/>
    <w:rsid w:val="1CB701AA"/>
    <w:rsid w:val="1CCA0F66"/>
    <w:rsid w:val="1CCB1DE0"/>
    <w:rsid w:val="1CDE446D"/>
    <w:rsid w:val="1CE20210"/>
    <w:rsid w:val="1D464FEE"/>
    <w:rsid w:val="1D644902"/>
    <w:rsid w:val="1D8C2BA2"/>
    <w:rsid w:val="1D905228"/>
    <w:rsid w:val="1DF24DA6"/>
    <w:rsid w:val="1DF43659"/>
    <w:rsid w:val="1DFC21EE"/>
    <w:rsid w:val="1E3A2085"/>
    <w:rsid w:val="1E4473F8"/>
    <w:rsid w:val="1E50751B"/>
    <w:rsid w:val="1E651A50"/>
    <w:rsid w:val="1E6D1C74"/>
    <w:rsid w:val="1E736E4E"/>
    <w:rsid w:val="1E7E5EB1"/>
    <w:rsid w:val="1E8D271A"/>
    <w:rsid w:val="1EA61B83"/>
    <w:rsid w:val="1EA82227"/>
    <w:rsid w:val="1EAD188D"/>
    <w:rsid w:val="1EF23920"/>
    <w:rsid w:val="1F234826"/>
    <w:rsid w:val="1F5E0D38"/>
    <w:rsid w:val="1F5F4414"/>
    <w:rsid w:val="1F826970"/>
    <w:rsid w:val="1F972A67"/>
    <w:rsid w:val="1FA317AB"/>
    <w:rsid w:val="1FE20B41"/>
    <w:rsid w:val="1FEE648E"/>
    <w:rsid w:val="1FF433BA"/>
    <w:rsid w:val="1FF9202F"/>
    <w:rsid w:val="20003026"/>
    <w:rsid w:val="200F3B23"/>
    <w:rsid w:val="201967D7"/>
    <w:rsid w:val="20374786"/>
    <w:rsid w:val="2039386F"/>
    <w:rsid w:val="20601C10"/>
    <w:rsid w:val="207149F4"/>
    <w:rsid w:val="20A13861"/>
    <w:rsid w:val="20BB0C31"/>
    <w:rsid w:val="20CF37FC"/>
    <w:rsid w:val="20D717F3"/>
    <w:rsid w:val="20F12135"/>
    <w:rsid w:val="20F90AAC"/>
    <w:rsid w:val="21182B79"/>
    <w:rsid w:val="212B616E"/>
    <w:rsid w:val="213121BA"/>
    <w:rsid w:val="214A2960"/>
    <w:rsid w:val="215302B9"/>
    <w:rsid w:val="218D006A"/>
    <w:rsid w:val="218E4A09"/>
    <w:rsid w:val="218E6399"/>
    <w:rsid w:val="21DF3292"/>
    <w:rsid w:val="2229623B"/>
    <w:rsid w:val="224A56C3"/>
    <w:rsid w:val="224C2951"/>
    <w:rsid w:val="227A54E3"/>
    <w:rsid w:val="22BD3256"/>
    <w:rsid w:val="22D07449"/>
    <w:rsid w:val="22D67C44"/>
    <w:rsid w:val="230B248C"/>
    <w:rsid w:val="231E3ED2"/>
    <w:rsid w:val="23537C14"/>
    <w:rsid w:val="23700EEA"/>
    <w:rsid w:val="238C42D2"/>
    <w:rsid w:val="2393048F"/>
    <w:rsid w:val="239E3C8F"/>
    <w:rsid w:val="23A06B4E"/>
    <w:rsid w:val="23A40CCF"/>
    <w:rsid w:val="23B0013B"/>
    <w:rsid w:val="24351B4F"/>
    <w:rsid w:val="24576A62"/>
    <w:rsid w:val="246E76BE"/>
    <w:rsid w:val="24762507"/>
    <w:rsid w:val="24863B93"/>
    <w:rsid w:val="24951E61"/>
    <w:rsid w:val="24B346B5"/>
    <w:rsid w:val="24B606B7"/>
    <w:rsid w:val="24EC3BCA"/>
    <w:rsid w:val="24EF6448"/>
    <w:rsid w:val="24F71B8F"/>
    <w:rsid w:val="250C0B5D"/>
    <w:rsid w:val="25335BFF"/>
    <w:rsid w:val="253D4E51"/>
    <w:rsid w:val="25451F40"/>
    <w:rsid w:val="2569332C"/>
    <w:rsid w:val="25893EFE"/>
    <w:rsid w:val="25BE6749"/>
    <w:rsid w:val="25DE0185"/>
    <w:rsid w:val="25E04003"/>
    <w:rsid w:val="25EE6875"/>
    <w:rsid w:val="260C334C"/>
    <w:rsid w:val="26276BC7"/>
    <w:rsid w:val="26402010"/>
    <w:rsid w:val="26412189"/>
    <w:rsid w:val="26566E1C"/>
    <w:rsid w:val="26A10A64"/>
    <w:rsid w:val="26A24282"/>
    <w:rsid w:val="26AF4078"/>
    <w:rsid w:val="26AF761E"/>
    <w:rsid w:val="26BB6790"/>
    <w:rsid w:val="26C84C3F"/>
    <w:rsid w:val="26CA39FA"/>
    <w:rsid w:val="26DB2072"/>
    <w:rsid w:val="26FF5359"/>
    <w:rsid w:val="271D238B"/>
    <w:rsid w:val="2737495D"/>
    <w:rsid w:val="27862FAB"/>
    <w:rsid w:val="278F67DD"/>
    <w:rsid w:val="27B778B7"/>
    <w:rsid w:val="27CE4805"/>
    <w:rsid w:val="27DC01C9"/>
    <w:rsid w:val="27EA6D62"/>
    <w:rsid w:val="28300784"/>
    <w:rsid w:val="287D7FC1"/>
    <w:rsid w:val="289E6725"/>
    <w:rsid w:val="28A74A3E"/>
    <w:rsid w:val="28A95980"/>
    <w:rsid w:val="29057EC1"/>
    <w:rsid w:val="290A1B78"/>
    <w:rsid w:val="292011C8"/>
    <w:rsid w:val="293757A5"/>
    <w:rsid w:val="293D0E03"/>
    <w:rsid w:val="293F5958"/>
    <w:rsid w:val="294A094A"/>
    <w:rsid w:val="29A6466D"/>
    <w:rsid w:val="29BF7001"/>
    <w:rsid w:val="29C52E87"/>
    <w:rsid w:val="29D9317B"/>
    <w:rsid w:val="29F116D0"/>
    <w:rsid w:val="2A0241CA"/>
    <w:rsid w:val="2A0777DB"/>
    <w:rsid w:val="2A1E7E82"/>
    <w:rsid w:val="2A7D5C08"/>
    <w:rsid w:val="2AA47786"/>
    <w:rsid w:val="2AAA19F3"/>
    <w:rsid w:val="2AAC2783"/>
    <w:rsid w:val="2AAD65EE"/>
    <w:rsid w:val="2AC77380"/>
    <w:rsid w:val="2AC94475"/>
    <w:rsid w:val="2ADD6AFD"/>
    <w:rsid w:val="2ADE6550"/>
    <w:rsid w:val="2AFE0D9C"/>
    <w:rsid w:val="2B2E0309"/>
    <w:rsid w:val="2B422946"/>
    <w:rsid w:val="2B5B34DC"/>
    <w:rsid w:val="2B76579E"/>
    <w:rsid w:val="2B7E3CAD"/>
    <w:rsid w:val="2B831E93"/>
    <w:rsid w:val="2BA57D96"/>
    <w:rsid w:val="2BAE29A1"/>
    <w:rsid w:val="2BBE438D"/>
    <w:rsid w:val="2BE373EE"/>
    <w:rsid w:val="2C295EB9"/>
    <w:rsid w:val="2C4628DA"/>
    <w:rsid w:val="2C622710"/>
    <w:rsid w:val="2C644BAF"/>
    <w:rsid w:val="2C675CA2"/>
    <w:rsid w:val="2C7A1A31"/>
    <w:rsid w:val="2C7C7D79"/>
    <w:rsid w:val="2C9466E2"/>
    <w:rsid w:val="2CAF6B04"/>
    <w:rsid w:val="2CB0279E"/>
    <w:rsid w:val="2CD12AE5"/>
    <w:rsid w:val="2CD6509A"/>
    <w:rsid w:val="2CF95958"/>
    <w:rsid w:val="2D077852"/>
    <w:rsid w:val="2D3A323B"/>
    <w:rsid w:val="2D4B55E5"/>
    <w:rsid w:val="2D53589F"/>
    <w:rsid w:val="2D7646A7"/>
    <w:rsid w:val="2D863175"/>
    <w:rsid w:val="2D8979FD"/>
    <w:rsid w:val="2DDC0104"/>
    <w:rsid w:val="2DE379BB"/>
    <w:rsid w:val="2E0177B9"/>
    <w:rsid w:val="2E034F95"/>
    <w:rsid w:val="2E1D2BF2"/>
    <w:rsid w:val="2E31077D"/>
    <w:rsid w:val="2E3B2A47"/>
    <w:rsid w:val="2E6003A4"/>
    <w:rsid w:val="2E69729D"/>
    <w:rsid w:val="2E8543E2"/>
    <w:rsid w:val="2E9B575E"/>
    <w:rsid w:val="2EB809B1"/>
    <w:rsid w:val="2EB81831"/>
    <w:rsid w:val="2ECF7A85"/>
    <w:rsid w:val="2EF7493A"/>
    <w:rsid w:val="2F1B7D20"/>
    <w:rsid w:val="2F2B5ABF"/>
    <w:rsid w:val="2F2E604D"/>
    <w:rsid w:val="2F417886"/>
    <w:rsid w:val="2F882E85"/>
    <w:rsid w:val="2F9A7F4A"/>
    <w:rsid w:val="2FBE7A06"/>
    <w:rsid w:val="2FC733B8"/>
    <w:rsid w:val="2FCA4F20"/>
    <w:rsid w:val="300C4C70"/>
    <w:rsid w:val="303371BB"/>
    <w:rsid w:val="3044399D"/>
    <w:rsid w:val="305868C6"/>
    <w:rsid w:val="306445C1"/>
    <w:rsid w:val="306F3DBA"/>
    <w:rsid w:val="30896C6B"/>
    <w:rsid w:val="30D2261F"/>
    <w:rsid w:val="30DE0226"/>
    <w:rsid w:val="31007D5E"/>
    <w:rsid w:val="31115223"/>
    <w:rsid w:val="311E570C"/>
    <w:rsid w:val="31263645"/>
    <w:rsid w:val="312D36B5"/>
    <w:rsid w:val="316A0838"/>
    <w:rsid w:val="316B13D5"/>
    <w:rsid w:val="3171750A"/>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2F5D68"/>
    <w:rsid w:val="344127C5"/>
    <w:rsid w:val="34526E6E"/>
    <w:rsid w:val="345B1895"/>
    <w:rsid w:val="3485590E"/>
    <w:rsid w:val="34946C2E"/>
    <w:rsid w:val="34A24AD6"/>
    <w:rsid w:val="34C04708"/>
    <w:rsid w:val="34D46D17"/>
    <w:rsid w:val="34E51AA2"/>
    <w:rsid w:val="34FD5844"/>
    <w:rsid w:val="35132D17"/>
    <w:rsid w:val="35280DED"/>
    <w:rsid w:val="35463167"/>
    <w:rsid w:val="35665ADB"/>
    <w:rsid w:val="35816EB9"/>
    <w:rsid w:val="35821E3D"/>
    <w:rsid w:val="35885D52"/>
    <w:rsid w:val="359F5261"/>
    <w:rsid w:val="35C2434B"/>
    <w:rsid w:val="35FE7215"/>
    <w:rsid w:val="35FF2DF2"/>
    <w:rsid w:val="36000F59"/>
    <w:rsid w:val="360B232F"/>
    <w:rsid w:val="36247CCA"/>
    <w:rsid w:val="36280FB0"/>
    <w:rsid w:val="36400759"/>
    <w:rsid w:val="364225B8"/>
    <w:rsid w:val="367B06EC"/>
    <w:rsid w:val="368E09AF"/>
    <w:rsid w:val="369E4130"/>
    <w:rsid w:val="36AF0D32"/>
    <w:rsid w:val="36C97969"/>
    <w:rsid w:val="36E62924"/>
    <w:rsid w:val="36E935BD"/>
    <w:rsid w:val="36ED465C"/>
    <w:rsid w:val="370058B6"/>
    <w:rsid w:val="37066B46"/>
    <w:rsid w:val="370914A0"/>
    <w:rsid w:val="37384B7D"/>
    <w:rsid w:val="37556EFB"/>
    <w:rsid w:val="37634C0D"/>
    <w:rsid w:val="37635AA2"/>
    <w:rsid w:val="37682FB9"/>
    <w:rsid w:val="376D038A"/>
    <w:rsid w:val="378D4EC4"/>
    <w:rsid w:val="37B01FC8"/>
    <w:rsid w:val="37F7211A"/>
    <w:rsid w:val="37FD2BB1"/>
    <w:rsid w:val="381B3138"/>
    <w:rsid w:val="381D63E4"/>
    <w:rsid w:val="38454C9B"/>
    <w:rsid w:val="388116C0"/>
    <w:rsid w:val="388C714F"/>
    <w:rsid w:val="38946C1E"/>
    <w:rsid w:val="38E37461"/>
    <w:rsid w:val="390331B7"/>
    <w:rsid w:val="39105A0A"/>
    <w:rsid w:val="391B76F1"/>
    <w:rsid w:val="392245B5"/>
    <w:rsid w:val="393D721A"/>
    <w:rsid w:val="393F0F59"/>
    <w:rsid w:val="39416036"/>
    <w:rsid w:val="394A6B61"/>
    <w:rsid w:val="394F360B"/>
    <w:rsid w:val="39754CA8"/>
    <w:rsid w:val="39825EF1"/>
    <w:rsid w:val="399D7118"/>
    <w:rsid w:val="39A708A3"/>
    <w:rsid w:val="39BC5220"/>
    <w:rsid w:val="39D879D3"/>
    <w:rsid w:val="39FC179E"/>
    <w:rsid w:val="3A014E17"/>
    <w:rsid w:val="3A066018"/>
    <w:rsid w:val="3A27547C"/>
    <w:rsid w:val="3A3871E3"/>
    <w:rsid w:val="3A3C3C45"/>
    <w:rsid w:val="3A404884"/>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071905"/>
    <w:rsid w:val="3D277613"/>
    <w:rsid w:val="3D2D39A9"/>
    <w:rsid w:val="3D3C5369"/>
    <w:rsid w:val="3D66205D"/>
    <w:rsid w:val="3D6D5EA9"/>
    <w:rsid w:val="3D9F033E"/>
    <w:rsid w:val="3DA54021"/>
    <w:rsid w:val="3DD171A7"/>
    <w:rsid w:val="3DDC1724"/>
    <w:rsid w:val="3E2653DC"/>
    <w:rsid w:val="3E2B50D7"/>
    <w:rsid w:val="3E327F30"/>
    <w:rsid w:val="3E4754A6"/>
    <w:rsid w:val="3E4D61A6"/>
    <w:rsid w:val="3E786B14"/>
    <w:rsid w:val="3E860F10"/>
    <w:rsid w:val="3E913ADC"/>
    <w:rsid w:val="3E922B85"/>
    <w:rsid w:val="3E922D59"/>
    <w:rsid w:val="3EA3700C"/>
    <w:rsid w:val="3EB02205"/>
    <w:rsid w:val="3EB47903"/>
    <w:rsid w:val="3EB744F6"/>
    <w:rsid w:val="3ED7637C"/>
    <w:rsid w:val="3EDF0CF3"/>
    <w:rsid w:val="3EE8557E"/>
    <w:rsid w:val="3EED740D"/>
    <w:rsid w:val="3F0E6AA3"/>
    <w:rsid w:val="3F2F6BD0"/>
    <w:rsid w:val="3F3330FC"/>
    <w:rsid w:val="3F4E48BC"/>
    <w:rsid w:val="3F4F338A"/>
    <w:rsid w:val="3F4F56AB"/>
    <w:rsid w:val="3F5C510C"/>
    <w:rsid w:val="3F652B34"/>
    <w:rsid w:val="3FB1447F"/>
    <w:rsid w:val="3FC35AFC"/>
    <w:rsid w:val="3FC93FCB"/>
    <w:rsid w:val="3FD1414D"/>
    <w:rsid w:val="3FD81218"/>
    <w:rsid w:val="400479C3"/>
    <w:rsid w:val="40404B79"/>
    <w:rsid w:val="40574922"/>
    <w:rsid w:val="40797278"/>
    <w:rsid w:val="408E3720"/>
    <w:rsid w:val="40912007"/>
    <w:rsid w:val="409B357D"/>
    <w:rsid w:val="40BC2DF7"/>
    <w:rsid w:val="40CE14CF"/>
    <w:rsid w:val="40CF6877"/>
    <w:rsid w:val="40E86C9E"/>
    <w:rsid w:val="411713CA"/>
    <w:rsid w:val="411A6663"/>
    <w:rsid w:val="412D5086"/>
    <w:rsid w:val="416E59E3"/>
    <w:rsid w:val="417C4EC1"/>
    <w:rsid w:val="419E4487"/>
    <w:rsid w:val="41A664B7"/>
    <w:rsid w:val="41DF5CBF"/>
    <w:rsid w:val="42226713"/>
    <w:rsid w:val="422B2BA1"/>
    <w:rsid w:val="4231785A"/>
    <w:rsid w:val="42584818"/>
    <w:rsid w:val="427E48C1"/>
    <w:rsid w:val="42926048"/>
    <w:rsid w:val="429B6E22"/>
    <w:rsid w:val="42C845D8"/>
    <w:rsid w:val="43262E27"/>
    <w:rsid w:val="434841F7"/>
    <w:rsid w:val="434D6B99"/>
    <w:rsid w:val="435334D8"/>
    <w:rsid w:val="43780316"/>
    <w:rsid w:val="437F792B"/>
    <w:rsid w:val="43BE214E"/>
    <w:rsid w:val="43ED298C"/>
    <w:rsid w:val="43EF2991"/>
    <w:rsid w:val="43F4696E"/>
    <w:rsid w:val="4422565E"/>
    <w:rsid w:val="444C2D48"/>
    <w:rsid w:val="44597BEE"/>
    <w:rsid w:val="447A4753"/>
    <w:rsid w:val="44DD300E"/>
    <w:rsid w:val="44E2656D"/>
    <w:rsid w:val="44F11452"/>
    <w:rsid w:val="45177BA4"/>
    <w:rsid w:val="451C551F"/>
    <w:rsid w:val="451F3CCA"/>
    <w:rsid w:val="45341196"/>
    <w:rsid w:val="45493A4F"/>
    <w:rsid w:val="454E4188"/>
    <w:rsid w:val="45727755"/>
    <w:rsid w:val="458227AE"/>
    <w:rsid w:val="45BA5028"/>
    <w:rsid w:val="45CA6C10"/>
    <w:rsid w:val="45E03532"/>
    <w:rsid w:val="45FC5428"/>
    <w:rsid w:val="462D5957"/>
    <w:rsid w:val="465346A2"/>
    <w:rsid w:val="46586687"/>
    <w:rsid w:val="466309D9"/>
    <w:rsid w:val="466A2150"/>
    <w:rsid w:val="466D3B0A"/>
    <w:rsid w:val="46844FFB"/>
    <w:rsid w:val="46864313"/>
    <w:rsid w:val="468C15DE"/>
    <w:rsid w:val="468F344C"/>
    <w:rsid w:val="469511DA"/>
    <w:rsid w:val="46C0713D"/>
    <w:rsid w:val="46CE17A4"/>
    <w:rsid w:val="472D3683"/>
    <w:rsid w:val="473B416A"/>
    <w:rsid w:val="473B7E9E"/>
    <w:rsid w:val="47453C8F"/>
    <w:rsid w:val="475B3378"/>
    <w:rsid w:val="4766347D"/>
    <w:rsid w:val="478D4609"/>
    <w:rsid w:val="478D6A12"/>
    <w:rsid w:val="47A32AF0"/>
    <w:rsid w:val="47AF032C"/>
    <w:rsid w:val="47BA0CEF"/>
    <w:rsid w:val="47E2248B"/>
    <w:rsid w:val="47EA4D37"/>
    <w:rsid w:val="47EC146A"/>
    <w:rsid w:val="48156D63"/>
    <w:rsid w:val="48246F12"/>
    <w:rsid w:val="48334280"/>
    <w:rsid w:val="48386782"/>
    <w:rsid w:val="48455013"/>
    <w:rsid w:val="484B7369"/>
    <w:rsid w:val="48507D95"/>
    <w:rsid w:val="48811612"/>
    <w:rsid w:val="488818E0"/>
    <w:rsid w:val="48E06989"/>
    <w:rsid w:val="48E92C88"/>
    <w:rsid w:val="48EB1D85"/>
    <w:rsid w:val="48F62F33"/>
    <w:rsid w:val="494C141C"/>
    <w:rsid w:val="4987544D"/>
    <w:rsid w:val="49AE3D92"/>
    <w:rsid w:val="49C55CAD"/>
    <w:rsid w:val="49CA225D"/>
    <w:rsid w:val="4A1203E3"/>
    <w:rsid w:val="4A863FBD"/>
    <w:rsid w:val="4AA927DF"/>
    <w:rsid w:val="4ABD2CBE"/>
    <w:rsid w:val="4AC625AF"/>
    <w:rsid w:val="4ACA49FA"/>
    <w:rsid w:val="4AE8469B"/>
    <w:rsid w:val="4AED30D2"/>
    <w:rsid w:val="4AF05435"/>
    <w:rsid w:val="4AFE1C1B"/>
    <w:rsid w:val="4B030BD1"/>
    <w:rsid w:val="4B503DE9"/>
    <w:rsid w:val="4B592E57"/>
    <w:rsid w:val="4B680FF9"/>
    <w:rsid w:val="4B731311"/>
    <w:rsid w:val="4B9A2375"/>
    <w:rsid w:val="4C1F7A5B"/>
    <w:rsid w:val="4C9A5F96"/>
    <w:rsid w:val="4C9B7DE3"/>
    <w:rsid w:val="4CA178A3"/>
    <w:rsid w:val="4CB3138C"/>
    <w:rsid w:val="4CBE1543"/>
    <w:rsid w:val="4CBE4760"/>
    <w:rsid w:val="4CCC2062"/>
    <w:rsid w:val="4CF86DA4"/>
    <w:rsid w:val="4D020DA5"/>
    <w:rsid w:val="4D0D52CB"/>
    <w:rsid w:val="4D205724"/>
    <w:rsid w:val="4D566C49"/>
    <w:rsid w:val="4D6037A5"/>
    <w:rsid w:val="4D743AA4"/>
    <w:rsid w:val="4D993267"/>
    <w:rsid w:val="4DA1355F"/>
    <w:rsid w:val="4DA65DA4"/>
    <w:rsid w:val="4DC67D4F"/>
    <w:rsid w:val="4DCD1BAE"/>
    <w:rsid w:val="4DD937FA"/>
    <w:rsid w:val="4DF67531"/>
    <w:rsid w:val="4E066E93"/>
    <w:rsid w:val="4E153288"/>
    <w:rsid w:val="4E1D7E77"/>
    <w:rsid w:val="4E236A05"/>
    <w:rsid w:val="4E51451A"/>
    <w:rsid w:val="4E793885"/>
    <w:rsid w:val="4E87793E"/>
    <w:rsid w:val="4EAC6004"/>
    <w:rsid w:val="4EB73142"/>
    <w:rsid w:val="4EF614BA"/>
    <w:rsid w:val="4EF62402"/>
    <w:rsid w:val="4F35630A"/>
    <w:rsid w:val="4F362E18"/>
    <w:rsid w:val="4F540B41"/>
    <w:rsid w:val="4F547EAA"/>
    <w:rsid w:val="4F6A78D9"/>
    <w:rsid w:val="4F832885"/>
    <w:rsid w:val="4F9039FE"/>
    <w:rsid w:val="4FAD22FB"/>
    <w:rsid w:val="50060758"/>
    <w:rsid w:val="50211945"/>
    <w:rsid w:val="50437224"/>
    <w:rsid w:val="50490678"/>
    <w:rsid w:val="505A512C"/>
    <w:rsid w:val="508C2E3F"/>
    <w:rsid w:val="5098572F"/>
    <w:rsid w:val="50F018D3"/>
    <w:rsid w:val="50F47A17"/>
    <w:rsid w:val="510E23F0"/>
    <w:rsid w:val="513D38A6"/>
    <w:rsid w:val="51456AF4"/>
    <w:rsid w:val="515C1DCC"/>
    <w:rsid w:val="51790E28"/>
    <w:rsid w:val="519B6609"/>
    <w:rsid w:val="519D0CD7"/>
    <w:rsid w:val="51BE6CEC"/>
    <w:rsid w:val="51C26588"/>
    <w:rsid w:val="51DE4114"/>
    <w:rsid w:val="51F17472"/>
    <w:rsid w:val="51F45C0D"/>
    <w:rsid w:val="51F45EC8"/>
    <w:rsid w:val="51FE2E2D"/>
    <w:rsid w:val="520F2ED4"/>
    <w:rsid w:val="521402BD"/>
    <w:rsid w:val="522B39FB"/>
    <w:rsid w:val="52414E5C"/>
    <w:rsid w:val="52463FBA"/>
    <w:rsid w:val="524A5D65"/>
    <w:rsid w:val="524C1BBF"/>
    <w:rsid w:val="52677477"/>
    <w:rsid w:val="529526FC"/>
    <w:rsid w:val="52A17AC6"/>
    <w:rsid w:val="52C04D72"/>
    <w:rsid w:val="52CA35B0"/>
    <w:rsid w:val="52DD15C5"/>
    <w:rsid w:val="5305373F"/>
    <w:rsid w:val="53131C59"/>
    <w:rsid w:val="53345BA9"/>
    <w:rsid w:val="53396085"/>
    <w:rsid w:val="53670639"/>
    <w:rsid w:val="53B84C8E"/>
    <w:rsid w:val="53E14409"/>
    <w:rsid w:val="53F52A77"/>
    <w:rsid w:val="5414272D"/>
    <w:rsid w:val="542045EB"/>
    <w:rsid w:val="545B2619"/>
    <w:rsid w:val="54871B54"/>
    <w:rsid w:val="549F3EDE"/>
    <w:rsid w:val="54A81F03"/>
    <w:rsid w:val="54AA3CD9"/>
    <w:rsid w:val="54B76615"/>
    <w:rsid w:val="54EA3219"/>
    <w:rsid w:val="550118A5"/>
    <w:rsid w:val="557A16A0"/>
    <w:rsid w:val="559A22C4"/>
    <w:rsid w:val="559F228F"/>
    <w:rsid w:val="55B54251"/>
    <w:rsid w:val="55E8090D"/>
    <w:rsid w:val="56051163"/>
    <w:rsid w:val="562A1609"/>
    <w:rsid w:val="563F74A4"/>
    <w:rsid w:val="566B53D2"/>
    <w:rsid w:val="5672794D"/>
    <w:rsid w:val="567B1141"/>
    <w:rsid w:val="569A3398"/>
    <w:rsid w:val="56DD0997"/>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AD17D7"/>
    <w:rsid w:val="58EF47AD"/>
    <w:rsid w:val="59033141"/>
    <w:rsid w:val="59491402"/>
    <w:rsid w:val="595C25C6"/>
    <w:rsid w:val="595F13E9"/>
    <w:rsid w:val="59785D4E"/>
    <w:rsid w:val="597E2527"/>
    <w:rsid w:val="599D32C2"/>
    <w:rsid w:val="59A84CD5"/>
    <w:rsid w:val="59C26AAC"/>
    <w:rsid w:val="59CA0DF6"/>
    <w:rsid w:val="59E12D2E"/>
    <w:rsid w:val="59E56E97"/>
    <w:rsid w:val="59EE0B0E"/>
    <w:rsid w:val="5A1B27B8"/>
    <w:rsid w:val="5A41505E"/>
    <w:rsid w:val="5A60385B"/>
    <w:rsid w:val="5AC608F3"/>
    <w:rsid w:val="5ACA2411"/>
    <w:rsid w:val="5AE31485"/>
    <w:rsid w:val="5AF626D8"/>
    <w:rsid w:val="5AF62900"/>
    <w:rsid w:val="5AFC40F3"/>
    <w:rsid w:val="5B0D46E9"/>
    <w:rsid w:val="5B143AA9"/>
    <w:rsid w:val="5B22062D"/>
    <w:rsid w:val="5B2B355B"/>
    <w:rsid w:val="5B3E3090"/>
    <w:rsid w:val="5B46617E"/>
    <w:rsid w:val="5B736DFC"/>
    <w:rsid w:val="5B74248A"/>
    <w:rsid w:val="5B7C3A7D"/>
    <w:rsid w:val="5B8675CA"/>
    <w:rsid w:val="5BA652CD"/>
    <w:rsid w:val="5BA85902"/>
    <w:rsid w:val="5BDA1A02"/>
    <w:rsid w:val="5BDA3815"/>
    <w:rsid w:val="5C100E26"/>
    <w:rsid w:val="5C4C3CC9"/>
    <w:rsid w:val="5C505E7D"/>
    <w:rsid w:val="5C5C59BB"/>
    <w:rsid w:val="5C6A1E8C"/>
    <w:rsid w:val="5C6F3AA2"/>
    <w:rsid w:val="5C85298F"/>
    <w:rsid w:val="5CD03DC6"/>
    <w:rsid w:val="5CF169E5"/>
    <w:rsid w:val="5CF20C05"/>
    <w:rsid w:val="5CF617C9"/>
    <w:rsid w:val="5D047EE8"/>
    <w:rsid w:val="5D126228"/>
    <w:rsid w:val="5D1949C1"/>
    <w:rsid w:val="5D1F3C0E"/>
    <w:rsid w:val="5D3A42DC"/>
    <w:rsid w:val="5D4E05C8"/>
    <w:rsid w:val="5D544536"/>
    <w:rsid w:val="5DCE771F"/>
    <w:rsid w:val="5DD3556C"/>
    <w:rsid w:val="5DEC3B70"/>
    <w:rsid w:val="5DF84369"/>
    <w:rsid w:val="5DF92DCB"/>
    <w:rsid w:val="5E245A90"/>
    <w:rsid w:val="5E280CB5"/>
    <w:rsid w:val="5E447267"/>
    <w:rsid w:val="5E4A572D"/>
    <w:rsid w:val="5E5667A6"/>
    <w:rsid w:val="5E676802"/>
    <w:rsid w:val="5E6C7C78"/>
    <w:rsid w:val="5E815CED"/>
    <w:rsid w:val="5E887A26"/>
    <w:rsid w:val="5EC56393"/>
    <w:rsid w:val="5EFE34A1"/>
    <w:rsid w:val="5F173FD8"/>
    <w:rsid w:val="5F3A1A66"/>
    <w:rsid w:val="5F6E2815"/>
    <w:rsid w:val="5F7C06D8"/>
    <w:rsid w:val="5FA91ED3"/>
    <w:rsid w:val="5FBF5E48"/>
    <w:rsid w:val="5FD9462B"/>
    <w:rsid w:val="5FFB6305"/>
    <w:rsid w:val="60011320"/>
    <w:rsid w:val="6057025C"/>
    <w:rsid w:val="606F133D"/>
    <w:rsid w:val="60916901"/>
    <w:rsid w:val="60993336"/>
    <w:rsid w:val="60A27DAC"/>
    <w:rsid w:val="60B91733"/>
    <w:rsid w:val="60BE70C9"/>
    <w:rsid w:val="60DF4CB3"/>
    <w:rsid w:val="610B115D"/>
    <w:rsid w:val="612650A2"/>
    <w:rsid w:val="61275225"/>
    <w:rsid w:val="614041D7"/>
    <w:rsid w:val="614A7B30"/>
    <w:rsid w:val="615F2C14"/>
    <w:rsid w:val="616C655B"/>
    <w:rsid w:val="616E381D"/>
    <w:rsid w:val="617A2999"/>
    <w:rsid w:val="61992EFA"/>
    <w:rsid w:val="61A21ED5"/>
    <w:rsid w:val="61BA5EFD"/>
    <w:rsid w:val="61C7660C"/>
    <w:rsid w:val="61D81BE2"/>
    <w:rsid w:val="61E93AD6"/>
    <w:rsid w:val="620100B1"/>
    <w:rsid w:val="62190F45"/>
    <w:rsid w:val="62193B80"/>
    <w:rsid w:val="621B4181"/>
    <w:rsid w:val="62353B47"/>
    <w:rsid w:val="624076D6"/>
    <w:rsid w:val="628057BB"/>
    <w:rsid w:val="628C53F9"/>
    <w:rsid w:val="62A20B07"/>
    <w:rsid w:val="62A414E0"/>
    <w:rsid w:val="62CC77CB"/>
    <w:rsid w:val="62F3784F"/>
    <w:rsid w:val="62FF3FB5"/>
    <w:rsid w:val="63021DE2"/>
    <w:rsid w:val="63112339"/>
    <w:rsid w:val="63875F97"/>
    <w:rsid w:val="6394227F"/>
    <w:rsid w:val="63AA5332"/>
    <w:rsid w:val="63C61233"/>
    <w:rsid w:val="63FF6AFB"/>
    <w:rsid w:val="640E4A78"/>
    <w:rsid w:val="642A2A58"/>
    <w:rsid w:val="64391A57"/>
    <w:rsid w:val="645700C7"/>
    <w:rsid w:val="64585109"/>
    <w:rsid w:val="645F7031"/>
    <w:rsid w:val="64881679"/>
    <w:rsid w:val="649F7EFD"/>
    <w:rsid w:val="64B55A95"/>
    <w:rsid w:val="64B64B66"/>
    <w:rsid w:val="64B86E2A"/>
    <w:rsid w:val="64C12A40"/>
    <w:rsid w:val="64C15487"/>
    <w:rsid w:val="64C51685"/>
    <w:rsid w:val="65137300"/>
    <w:rsid w:val="6526740F"/>
    <w:rsid w:val="652C3E17"/>
    <w:rsid w:val="6556674F"/>
    <w:rsid w:val="655F2B6C"/>
    <w:rsid w:val="656032D9"/>
    <w:rsid w:val="65862CD9"/>
    <w:rsid w:val="6588686F"/>
    <w:rsid w:val="659E46D8"/>
    <w:rsid w:val="65A57048"/>
    <w:rsid w:val="65B50E5A"/>
    <w:rsid w:val="65D54781"/>
    <w:rsid w:val="65D923B7"/>
    <w:rsid w:val="660867AF"/>
    <w:rsid w:val="662D27C6"/>
    <w:rsid w:val="66452FE9"/>
    <w:rsid w:val="668D7DF1"/>
    <w:rsid w:val="66D60DB1"/>
    <w:rsid w:val="66E561D8"/>
    <w:rsid w:val="66F00AF0"/>
    <w:rsid w:val="6700750E"/>
    <w:rsid w:val="67580868"/>
    <w:rsid w:val="67610EFA"/>
    <w:rsid w:val="678D5B85"/>
    <w:rsid w:val="67995A29"/>
    <w:rsid w:val="679F4BEC"/>
    <w:rsid w:val="67DC482A"/>
    <w:rsid w:val="67E55620"/>
    <w:rsid w:val="67EA5494"/>
    <w:rsid w:val="67ED1ADF"/>
    <w:rsid w:val="68091997"/>
    <w:rsid w:val="6815717B"/>
    <w:rsid w:val="681B7F08"/>
    <w:rsid w:val="6822487B"/>
    <w:rsid w:val="68347A35"/>
    <w:rsid w:val="684D6D87"/>
    <w:rsid w:val="68525B9B"/>
    <w:rsid w:val="688432AD"/>
    <w:rsid w:val="6886482A"/>
    <w:rsid w:val="688E57BC"/>
    <w:rsid w:val="68904BFB"/>
    <w:rsid w:val="689958EB"/>
    <w:rsid w:val="68A0499E"/>
    <w:rsid w:val="68AE3670"/>
    <w:rsid w:val="68C332BA"/>
    <w:rsid w:val="68C708F2"/>
    <w:rsid w:val="68D56251"/>
    <w:rsid w:val="68EF5946"/>
    <w:rsid w:val="68FF6567"/>
    <w:rsid w:val="693118AD"/>
    <w:rsid w:val="69603C4B"/>
    <w:rsid w:val="69614422"/>
    <w:rsid w:val="69683F1C"/>
    <w:rsid w:val="698C169F"/>
    <w:rsid w:val="69930E11"/>
    <w:rsid w:val="6997611C"/>
    <w:rsid w:val="699C0EF8"/>
    <w:rsid w:val="69AB5DBB"/>
    <w:rsid w:val="69B840F1"/>
    <w:rsid w:val="69C0217A"/>
    <w:rsid w:val="69C91948"/>
    <w:rsid w:val="69F61FB9"/>
    <w:rsid w:val="6A2826A1"/>
    <w:rsid w:val="6A51315C"/>
    <w:rsid w:val="6A551347"/>
    <w:rsid w:val="6A5D1911"/>
    <w:rsid w:val="6A5F02FA"/>
    <w:rsid w:val="6A9F3407"/>
    <w:rsid w:val="6AA45AEE"/>
    <w:rsid w:val="6AAA05A9"/>
    <w:rsid w:val="6AE60B4C"/>
    <w:rsid w:val="6AF012D3"/>
    <w:rsid w:val="6B3529D0"/>
    <w:rsid w:val="6B3C6A10"/>
    <w:rsid w:val="6B5B3158"/>
    <w:rsid w:val="6B726A7C"/>
    <w:rsid w:val="6B8902B7"/>
    <w:rsid w:val="6BBA5C26"/>
    <w:rsid w:val="6BE963BE"/>
    <w:rsid w:val="6C09199A"/>
    <w:rsid w:val="6C0F365E"/>
    <w:rsid w:val="6C2E2CA9"/>
    <w:rsid w:val="6C3E3641"/>
    <w:rsid w:val="6C740601"/>
    <w:rsid w:val="6CD31F6B"/>
    <w:rsid w:val="6CE25A08"/>
    <w:rsid w:val="6D380537"/>
    <w:rsid w:val="6D616216"/>
    <w:rsid w:val="6D835FC8"/>
    <w:rsid w:val="6D932C97"/>
    <w:rsid w:val="6DA0648F"/>
    <w:rsid w:val="6DA225C5"/>
    <w:rsid w:val="6DB630F7"/>
    <w:rsid w:val="6E04099A"/>
    <w:rsid w:val="6E0E61FC"/>
    <w:rsid w:val="6E1F1898"/>
    <w:rsid w:val="6E3101C1"/>
    <w:rsid w:val="6E451A64"/>
    <w:rsid w:val="6E67698D"/>
    <w:rsid w:val="6E6839F7"/>
    <w:rsid w:val="6E6F19E4"/>
    <w:rsid w:val="6E733F82"/>
    <w:rsid w:val="6E7F3EA4"/>
    <w:rsid w:val="6E874489"/>
    <w:rsid w:val="6EA0744D"/>
    <w:rsid w:val="6EA3291D"/>
    <w:rsid w:val="6EA67504"/>
    <w:rsid w:val="6EB17B25"/>
    <w:rsid w:val="6EDD75A0"/>
    <w:rsid w:val="6F0D2298"/>
    <w:rsid w:val="6F4B77AB"/>
    <w:rsid w:val="6F5A407F"/>
    <w:rsid w:val="6F9045BD"/>
    <w:rsid w:val="6F991282"/>
    <w:rsid w:val="6FAD4095"/>
    <w:rsid w:val="6FD071A2"/>
    <w:rsid w:val="6FD57D31"/>
    <w:rsid w:val="6FD969D9"/>
    <w:rsid w:val="6FDF42CC"/>
    <w:rsid w:val="6FE2164C"/>
    <w:rsid w:val="700A32D4"/>
    <w:rsid w:val="70512274"/>
    <w:rsid w:val="7071512F"/>
    <w:rsid w:val="70836044"/>
    <w:rsid w:val="70963635"/>
    <w:rsid w:val="709E757C"/>
    <w:rsid w:val="70AB6982"/>
    <w:rsid w:val="70B960E4"/>
    <w:rsid w:val="70CE2945"/>
    <w:rsid w:val="70D571F9"/>
    <w:rsid w:val="710003A8"/>
    <w:rsid w:val="710F0BB8"/>
    <w:rsid w:val="71194261"/>
    <w:rsid w:val="711C5BB5"/>
    <w:rsid w:val="712D71C5"/>
    <w:rsid w:val="7144689C"/>
    <w:rsid w:val="717E5F2F"/>
    <w:rsid w:val="718B15C7"/>
    <w:rsid w:val="718B3A21"/>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851F7"/>
    <w:rsid w:val="72BD48D1"/>
    <w:rsid w:val="72C65D78"/>
    <w:rsid w:val="72D7336E"/>
    <w:rsid w:val="72FD0906"/>
    <w:rsid w:val="73174731"/>
    <w:rsid w:val="73795D74"/>
    <w:rsid w:val="739509FA"/>
    <w:rsid w:val="73A80755"/>
    <w:rsid w:val="73C4164C"/>
    <w:rsid w:val="73CC653A"/>
    <w:rsid w:val="73D159A1"/>
    <w:rsid w:val="73F35C20"/>
    <w:rsid w:val="73F8462A"/>
    <w:rsid w:val="741D2D43"/>
    <w:rsid w:val="74227141"/>
    <w:rsid w:val="745F4062"/>
    <w:rsid w:val="74DF558B"/>
    <w:rsid w:val="74E67F4E"/>
    <w:rsid w:val="74EE1D1B"/>
    <w:rsid w:val="74F826B3"/>
    <w:rsid w:val="75067D82"/>
    <w:rsid w:val="75152359"/>
    <w:rsid w:val="752955C7"/>
    <w:rsid w:val="75473AB6"/>
    <w:rsid w:val="755A639D"/>
    <w:rsid w:val="75612341"/>
    <w:rsid w:val="75BB3E91"/>
    <w:rsid w:val="75CA48E7"/>
    <w:rsid w:val="75F60130"/>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730FF8"/>
    <w:rsid w:val="778B056F"/>
    <w:rsid w:val="77941310"/>
    <w:rsid w:val="77A82770"/>
    <w:rsid w:val="77BD7E72"/>
    <w:rsid w:val="77ED0386"/>
    <w:rsid w:val="77F211D8"/>
    <w:rsid w:val="77F4689D"/>
    <w:rsid w:val="77F72469"/>
    <w:rsid w:val="78366B8C"/>
    <w:rsid w:val="783B287A"/>
    <w:rsid w:val="78482C69"/>
    <w:rsid w:val="78B43B82"/>
    <w:rsid w:val="78BB76EA"/>
    <w:rsid w:val="78CC6FCA"/>
    <w:rsid w:val="78FB1BD1"/>
    <w:rsid w:val="79213328"/>
    <w:rsid w:val="7964511F"/>
    <w:rsid w:val="799E7491"/>
    <w:rsid w:val="799F3F47"/>
    <w:rsid w:val="79A72484"/>
    <w:rsid w:val="79BA471D"/>
    <w:rsid w:val="79DF005F"/>
    <w:rsid w:val="79EC7405"/>
    <w:rsid w:val="7A114E8A"/>
    <w:rsid w:val="7A1C5B1C"/>
    <w:rsid w:val="7A4653BA"/>
    <w:rsid w:val="7A765EEC"/>
    <w:rsid w:val="7A790CA9"/>
    <w:rsid w:val="7AAD04BC"/>
    <w:rsid w:val="7AB83F1D"/>
    <w:rsid w:val="7ACA2786"/>
    <w:rsid w:val="7ACF5519"/>
    <w:rsid w:val="7AD234FC"/>
    <w:rsid w:val="7ADD6282"/>
    <w:rsid w:val="7AE2061C"/>
    <w:rsid w:val="7B002131"/>
    <w:rsid w:val="7B0864F6"/>
    <w:rsid w:val="7B1B16D3"/>
    <w:rsid w:val="7B2E6780"/>
    <w:rsid w:val="7B453576"/>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1D2AAC"/>
    <w:rsid w:val="7D2F6FF7"/>
    <w:rsid w:val="7D303FCF"/>
    <w:rsid w:val="7D332F6D"/>
    <w:rsid w:val="7D3D587B"/>
    <w:rsid w:val="7D4435DF"/>
    <w:rsid w:val="7D49035B"/>
    <w:rsid w:val="7D4D0E2F"/>
    <w:rsid w:val="7D5A11F6"/>
    <w:rsid w:val="7D6E6D2F"/>
    <w:rsid w:val="7DB618F1"/>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34"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120" w:line="300" w:lineRule="auto"/>
      <w:jc w:val="both"/>
    </w:pPr>
    <w:rPr>
      <w:rFonts w:ascii="Times New Roman" w:hAnsi="Times New Roman" w:eastAsia="宋体" w:cs="Times New Roman"/>
      <w:lang w:val="en-US" w:eastAsia="zh-CN" w:bidi="ar-SA"/>
    </w:rPr>
  </w:style>
  <w:style w:type="paragraph" w:styleId="2">
    <w:name w:val="heading 1"/>
    <w:basedOn w:val="1"/>
    <w:next w:val="1"/>
    <w:link w:val="33"/>
    <w:qFormat/>
    <w:uiPriority w:val="99"/>
    <w:pPr>
      <w:widowControl w:val="0"/>
      <w:numPr>
        <w:ilvl w:val="0"/>
        <w:numId w:val="1"/>
      </w:numPr>
      <w:tabs>
        <w:tab w:val="left" w:pos="432"/>
      </w:tabs>
      <w:autoSpaceDE w:val="0"/>
      <w:autoSpaceDN w:val="0"/>
      <w:adjustRightInd w:val="0"/>
      <w:outlineLvl w:val="0"/>
    </w:pPr>
    <w:rPr>
      <w:rFonts w:ascii="Arial" w:hAnsi="Arial" w:eastAsia="黑体"/>
      <w:b/>
      <w:bCs/>
      <w:sz w:val="30"/>
      <w:szCs w:val="30"/>
      <w:lang w:val="zh-CN"/>
    </w:rPr>
  </w:style>
  <w:style w:type="paragraph" w:styleId="3">
    <w:name w:val="heading 2"/>
    <w:basedOn w:val="1"/>
    <w:next w:val="1"/>
    <w:link w:val="50"/>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link w:val="34"/>
    <w:qFormat/>
    <w:uiPriority w:val="9"/>
    <w:pPr>
      <w:keepNext/>
      <w:keepLines/>
      <w:numPr>
        <w:ilvl w:val="2"/>
        <w:numId w:val="1"/>
      </w:numPr>
      <w:tabs>
        <w:tab w:val="left" w:pos="432"/>
        <w:tab w:val="left" w:pos="720"/>
      </w:tabs>
      <w:spacing w:before="260" w:after="260" w:line="416" w:lineRule="auto"/>
      <w:outlineLvl w:val="2"/>
    </w:pPr>
    <w:rPr>
      <w:b/>
      <w:bCs/>
      <w:sz w:val="21"/>
      <w:szCs w:val="32"/>
    </w:rPr>
  </w:style>
  <w:style w:type="paragraph" w:styleId="5">
    <w:name w:val="heading 4"/>
    <w:basedOn w:val="1"/>
    <w:next w:val="1"/>
    <w:qFormat/>
    <w:uiPriority w:val="0"/>
    <w:pPr>
      <w:ind w:left="1418" w:hanging="1418"/>
      <w:outlineLvl w:val="3"/>
    </w:pPr>
    <w:rPr>
      <w:sz w:val="24"/>
    </w:rPr>
  </w:style>
  <w:style w:type="paragraph" w:styleId="6">
    <w:name w:val="heading 5"/>
    <w:basedOn w:val="1"/>
    <w:next w:val="1"/>
    <w:qFormat/>
    <w:uiPriority w:val="0"/>
    <w:pPr>
      <w:outlineLvl w:val="4"/>
    </w:pPr>
    <w:rPr>
      <w:rFonts w:hint="eastAsia" w:ascii="宋体" w:hAnsi="宋体"/>
      <w:b/>
      <w:color w:val="666666"/>
    </w:rPr>
  </w:style>
  <w:style w:type="paragraph" w:styleId="7">
    <w:name w:val="heading 6"/>
    <w:basedOn w:val="1"/>
    <w:next w:val="1"/>
    <w:link w:val="57"/>
    <w:qFormat/>
    <w:uiPriority w:val="9"/>
    <w:pPr>
      <w:keepNext/>
      <w:keepLines/>
      <w:spacing w:before="240" w:after="64" w:line="317" w:lineRule="auto"/>
      <w:ind w:left="1151" w:hanging="1151"/>
      <w:outlineLvl w:val="5"/>
    </w:pPr>
    <w:rPr>
      <w:rFonts w:ascii="Arial" w:hAnsi="Arial" w:eastAsia="黑体"/>
      <w:b/>
      <w:sz w:val="24"/>
    </w:rPr>
  </w:style>
  <w:style w:type="paragraph" w:styleId="8">
    <w:name w:val="heading 7"/>
    <w:basedOn w:val="1"/>
    <w:next w:val="1"/>
    <w:link w:val="56"/>
    <w:qFormat/>
    <w:uiPriority w:val="9"/>
    <w:pPr>
      <w:keepNext/>
      <w:keepLines/>
      <w:spacing w:before="240" w:after="64" w:line="317" w:lineRule="auto"/>
      <w:ind w:left="1296" w:hanging="1296"/>
      <w:outlineLvl w:val="6"/>
    </w:pPr>
    <w:rPr>
      <w:rFonts w:ascii="Calibri" w:hAnsi="Calibri"/>
      <w:b/>
      <w:sz w:val="24"/>
    </w:rPr>
  </w:style>
  <w:style w:type="paragraph" w:styleId="9">
    <w:name w:val="heading 8"/>
    <w:basedOn w:val="1"/>
    <w:next w:val="1"/>
    <w:link w:val="70"/>
    <w:qFormat/>
    <w:uiPriority w:val="9"/>
    <w:pPr>
      <w:keepNext/>
      <w:keepLines/>
      <w:spacing w:before="240" w:after="64" w:line="317" w:lineRule="auto"/>
      <w:ind w:left="1440" w:hanging="1440"/>
      <w:outlineLvl w:val="7"/>
    </w:pPr>
    <w:rPr>
      <w:rFonts w:ascii="Arial" w:hAnsi="Arial" w:eastAsia="黑体"/>
      <w:sz w:val="24"/>
    </w:rPr>
  </w:style>
  <w:style w:type="paragraph" w:styleId="10">
    <w:name w:val="heading 9"/>
    <w:basedOn w:val="1"/>
    <w:next w:val="1"/>
    <w:link w:val="41"/>
    <w:qFormat/>
    <w:uiPriority w:val="9"/>
    <w:pPr>
      <w:keepNext/>
      <w:keepLines/>
      <w:spacing w:before="240" w:after="64" w:line="317" w:lineRule="auto"/>
      <w:ind w:left="1583" w:hanging="1583"/>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ind w:firstLine="420"/>
    </w:pPr>
    <w:rPr>
      <w:kern w:val="2"/>
      <w:sz w:val="21"/>
    </w:rPr>
  </w:style>
  <w:style w:type="paragraph" w:styleId="12">
    <w:name w:val="caption"/>
    <w:basedOn w:val="1"/>
    <w:next w:val="1"/>
    <w:link w:val="66"/>
    <w:qFormat/>
    <w:uiPriority w:val="0"/>
    <w:pPr>
      <w:tabs>
        <w:tab w:val="left" w:pos="1418"/>
      </w:tabs>
      <w:spacing w:before="120"/>
    </w:pPr>
    <w:rPr>
      <w:b/>
      <w:bCs/>
      <w:lang w:val="en-GB" w:eastAsia="sv-SE"/>
    </w:rPr>
  </w:style>
  <w:style w:type="paragraph" w:styleId="13">
    <w:name w:val="Document Map"/>
    <w:basedOn w:val="1"/>
    <w:link w:val="61"/>
    <w:unhideWhenUsed/>
    <w:qFormat/>
    <w:uiPriority w:val="99"/>
    <w:rPr>
      <w:rFonts w:ascii="宋体"/>
      <w:sz w:val="18"/>
      <w:szCs w:val="18"/>
    </w:rPr>
  </w:style>
  <w:style w:type="paragraph" w:styleId="14">
    <w:name w:val="annotation text"/>
    <w:basedOn w:val="1"/>
    <w:link w:val="71"/>
    <w:unhideWhenUsed/>
    <w:qFormat/>
    <w:uiPriority w:val="0"/>
  </w:style>
  <w:style w:type="paragraph" w:styleId="15">
    <w:name w:val="Body Text"/>
    <w:basedOn w:val="1"/>
    <w:link w:val="76"/>
    <w:qFormat/>
    <w:uiPriority w:val="0"/>
    <w:pPr>
      <w:widowControl w:val="0"/>
    </w:pPr>
    <w:rPr>
      <w:color w:val="0000FF"/>
      <w:kern w:val="2"/>
      <w:sz w:val="21"/>
    </w:rPr>
  </w:style>
  <w:style w:type="paragraph" w:styleId="16">
    <w:name w:val="Balloon Text"/>
    <w:basedOn w:val="1"/>
    <w:link w:val="48"/>
    <w:unhideWhenUsed/>
    <w:qFormat/>
    <w:uiPriority w:val="99"/>
    <w:rPr>
      <w:rFonts w:ascii="Tahoma" w:hAnsi="Tahoma"/>
      <w:sz w:val="16"/>
      <w:szCs w:val="16"/>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79"/>
    <w:qFormat/>
    <w:uiPriority w:val="0"/>
    <w:pPr>
      <w:tabs>
        <w:tab w:val="center" w:pos="4536"/>
        <w:tab w:val="right" w:pos="9072"/>
      </w:tabs>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78"/>
    <w:semiHidden/>
    <w:qFormat/>
    <w:uiPriority w:val="0"/>
    <w:rPr>
      <w:rFonts w:ascii="Times" w:hAnsi="Times" w:eastAsia="Batang"/>
      <w:lang w:eastAsia="en-US"/>
    </w:rPr>
  </w:style>
  <w:style w:type="paragraph" w:styleId="21">
    <w:name w:val="Normal (Web)"/>
    <w:basedOn w:val="1"/>
    <w:unhideWhenUsed/>
    <w:qFormat/>
    <w:uiPriority w:val="99"/>
    <w:pPr>
      <w:spacing w:before="100" w:beforeAutospacing="1" w:after="100" w:afterAutospacing="1"/>
    </w:pPr>
    <w:rPr>
      <w:rFonts w:ascii="宋体" w:hAnsi="宋体" w:cs="宋体"/>
      <w:sz w:val="24"/>
      <w:szCs w:val="24"/>
    </w:rPr>
  </w:style>
  <w:style w:type="paragraph" w:styleId="22">
    <w:name w:val="annotation subject"/>
    <w:basedOn w:val="14"/>
    <w:next w:val="14"/>
    <w:link w:val="42"/>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Colorful Shading Accent 3"/>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color="8064A2" w:sz="24" w:space="0"/>
          <w:right w:val="nil"/>
          <w:insideH w:val="nil"/>
          <w:insideV w:val="nil"/>
          <w:tl2br w:val="nil"/>
          <w:tr2bl w:val="nil"/>
        </w:tcBorders>
        <w:shd w:val="clear" w:color="auto" w:fill="FFFFFF"/>
      </w:tc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FollowedHyperlink"/>
    <w:unhideWhenUsed/>
    <w:qFormat/>
    <w:uiPriority w:val="99"/>
    <w:rPr>
      <w:color w:val="2779B6"/>
      <w:u w:val="single"/>
    </w:rPr>
  </w:style>
  <w:style w:type="character" w:styleId="29">
    <w:name w:val="Emphasis"/>
    <w:qFormat/>
    <w:uiPriority w:val="20"/>
    <w:rPr>
      <w:i/>
    </w:rPr>
  </w:style>
  <w:style w:type="character" w:styleId="30">
    <w:name w:val="Hyperlink"/>
    <w:unhideWhenUsed/>
    <w:qFormat/>
    <w:uiPriority w:val="99"/>
    <w:rPr>
      <w:color w:val="2779B6"/>
      <w:u w:val="single"/>
    </w:rPr>
  </w:style>
  <w:style w:type="character" w:styleId="31">
    <w:name w:val="annotation reference"/>
    <w:unhideWhenUsed/>
    <w:qFormat/>
    <w:uiPriority w:val="0"/>
    <w:rPr>
      <w:sz w:val="16"/>
      <w:szCs w:val="16"/>
    </w:rPr>
  </w:style>
  <w:style w:type="character" w:styleId="32">
    <w:name w:val="footnote reference"/>
    <w:semiHidden/>
    <w:qFormat/>
    <w:uiPriority w:val="0"/>
    <w:rPr>
      <w:b/>
      <w:position w:val="6"/>
      <w:sz w:val="16"/>
    </w:rPr>
  </w:style>
  <w:style w:type="character" w:customStyle="1" w:styleId="33">
    <w:name w:val="标题 1 Char"/>
    <w:link w:val="2"/>
    <w:qFormat/>
    <w:uiPriority w:val="99"/>
    <w:rPr>
      <w:rFonts w:ascii="Arial" w:hAnsi="Arial" w:eastAsia="黑体"/>
      <w:b/>
      <w:bCs/>
      <w:sz w:val="30"/>
      <w:szCs w:val="30"/>
      <w:lang w:val="zh-CN"/>
    </w:rPr>
  </w:style>
  <w:style w:type="character" w:customStyle="1" w:styleId="34">
    <w:name w:val="标题 3 Char"/>
    <w:link w:val="4"/>
    <w:qFormat/>
    <w:uiPriority w:val="9"/>
    <w:rPr>
      <w:rFonts w:ascii="Times New Roman" w:hAnsi="Times New Roman" w:eastAsia="宋体"/>
      <w:b/>
      <w:bCs/>
      <w:sz w:val="21"/>
      <w:szCs w:val="32"/>
    </w:rPr>
  </w:style>
  <w:style w:type="character" w:customStyle="1" w:styleId="35">
    <w:name w:val="def"/>
    <w:basedOn w:val="26"/>
    <w:qFormat/>
    <w:uiPriority w:val="0"/>
  </w:style>
  <w:style w:type="character" w:customStyle="1" w:styleId="36">
    <w:name w:val="Medium Grid 1 - Accent 2 Char"/>
    <w:link w:val="37"/>
    <w:qFormat/>
    <w:uiPriority w:val="34"/>
    <w:rPr>
      <w:sz w:val="22"/>
      <w:szCs w:val="22"/>
    </w:rPr>
  </w:style>
  <w:style w:type="paragraph" w:customStyle="1" w:styleId="37">
    <w:name w:val="Medium Grid 1 - Accent 21"/>
    <w:basedOn w:val="1"/>
    <w:link w:val="36"/>
    <w:qFormat/>
    <w:uiPriority w:val="34"/>
    <w:pPr>
      <w:ind w:firstLine="420" w:firstLineChars="200"/>
    </w:pPr>
  </w:style>
  <w:style w:type="character" w:customStyle="1" w:styleId="38">
    <w:name w:val="main text Char"/>
    <w:link w:val="39"/>
    <w:qFormat/>
    <w:uiPriority w:val="0"/>
    <w:rPr>
      <w:rFonts w:ascii="Times New Roman" w:hAnsi="Times New Roman" w:eastAsia="Malgun Gothic"/>
      <w:lang w:val="en-GB" w:eastAsia="ko-KR"/>
    </w:rPr>
  </w:style>
  <w:style w:type="paragraph" w:customStyle="1" w:styleId="39">
    <w:name w:val="main text"/>
    <w:basedOn w:val="1"/>
    <w:link w:val="38"/>
    <w:qFormat/>
    <w:uiPriority w:val="0"/>
    <w:pPr>
      <w:spacing w:before="60" w:after="60" w:line="288" w:lineRule="auto"/>
      <w:ind w:firstLine="200" w:firstLineChars="200"/>
    </w:pPr>
    <w:rPr>
      <w:rFonts w:eastAsia="Malgun Gothic"/>
      <w:lang w:val="en-GB" w:eastAsia="ko-KR"/>
    </w:rPr>
  </w:style>
  <w:style w:type="character" w:customStyle="1" w:styleId="40">
    <w:name w:val="apple-converted-space"/>
    <w:basedOn w:val="26"/>
    <w:qFormat/>
    <w:uiPriority w:val="0"/>
  </w:style>
  <w:style w:type="character" w:customStyle="1" w:styleId="41">
    <w:name w:val="标题 9 Char"/>
    <w:link w:val="10"/>
    <w:qFormat/>
    <w:uiPriority w:val="9"/>
    <w:rPr>
      <w:rFonts w:ascii="Arial" w:hAnsi="Arial" w:eastAsia="黑体"/>
      <w:sz w:val="21"/>
      <w:szCs w:val="22"/>
    </w:rPr>
  </w:style>
  <w:style w:type="character" w:customStyle="1" w:styleId="42">
    <w:name w:val="批注主题 Char"/>
    <w:link w:val="22"/>
    <w:semiHidden/>
    <w:qFormat/>
    <w:uiPriority w:val="99"/>
    <w:rPr>
      <w:b/>
      <w:bCs/>
    </w:rPr>
  </w:style>
  <w:style w:type="character" w:customStyle="1" w:styleId="43">
    <w:name w:val="bullet3 Char"/>
    <w:link w:val="44"/>
    <w:qFormat/>
    <w:uiPriority w:val="0"/>
    <w:rPr>
      <w:rFonts w:ascii="Times" w:hAnsi="Times" w:eastAsia="Batang"/>
      <w:szCs w:val="24"/>
      <w:lang w:val="en-GB" w:eastAsia="en-US"/>
    </w:rPr>
  </w:style>
  <w:style w:type="paragraph" w:customStyle="1" w:styleId="44">
    <w:name w:val="bullet3"/>
    <w:basedOn w:val="45"/>
    <w:link w:val="43"/>
    <w:qFormat/>
    <w:uiPriority w:val="0"/>
    <w:pPr>
      <w:widowControl/>
      <w:numPr>
        <w:ilvl w:val="2"/>
        <w:numId w:val="2"/>
      </w:numPr>
      <w:spacing w:after="0"/>
      <w:jc w:val="left"/>
    </w:pPr>
    <w:rPr>
      <w:rFonts w:ascii="Times" w:hAnsi="Times" w:eastAsia="Batang"/>
      <w:kern w:val="0"/>
      <w:sz w:val="20"/>
      <w:szCs w:val="24"/>
      <w:lang w:val="en-GB" w:eastAsia="en-US"/>
    </w:rPr>
  </w:style>
  <w:style w:type="paragraph" w:customStyle="1" w:styleId="45">
    <w:name w:val="text"/>
    <w:basedOn w:val="1"/>
    <w:link w:val="65"/>
    <w:qFormat/>
    <w:uiPriority w:val="0"/>
    <w:pPr>
      <w:widowControl w:val="0"/>
      <w:spacing w:after="240"/>
    </w:pPr>
    <w:rPr>
      <w:rFonts w:ascii="Calibri" w:hAnsi="Calibri"/>
      <w:kern w:val="2"/>
      <w:sz w:val="24"/>
    </w:rPr>
  </w:style>
  <w:style w:type="character" w:customStyle="1" w:styleId="46">
    <w:name w:val="List Paragraph Char"/>
    <w:link w:val="47"/>
    <w:qFormat/>
    <w:uiPriority w:val="34"/>
    <w:rPr>
      <w:rFonts w:eastAsia="Malgun Gothic"/>
      <w:lang w:val="en-GB"/>
    </w:rPr>
  </w:style>
  <w:style w:type="paragraph" w:customStyle="1" w:styleId="47">
    <w:name w:val="List Paragraph1"/>
    <w:basedOn w:val="1"/>
    <w:link w:val="46"/>
    <w:qFormat/>
    <w:uiPriority w:val="34"/>
    <w:pPr>
      <w:spacing w:after="180"/>
      <w:ind w:left="800"/>
    </w:pPr>
    <w:rPr>
      <w:rFonts w:eastAsia="Malgun Gothic"/>
      <w:lang w:val="en-GB"/>
    </w:rPr>
  </w:style>
  <w:style w:type="character" w:customStyle="1" w:styleId="48">
    <w:name w:val="批注框文本 Char"/>
    <w:link w:val="16"/>
    <w:semiHidden/>
    <w:qFormat/>
    <w:uiPriority w:val="99"/>
    <w:rPr>
      <w:rFonts w:ascii="Tahoma" w:hAnsi="Tahoma" w:cs="Tahoma"/>
      <w:sz w:val="16"/>
      <w:szCs w:val="16"/>
    </w:rPr>
  </w:style>
  <w:style w:type="character" w:customStyle="1" w:styleId="49">
    <w:name w:val="ZGSM"/>
    <w:qFormat/>
    <w:uiPriority w:val="0"/>
  </w:style>
  <w:style w:type="character" w:customStyle="1" w:styleId="50">
    <w:name w:val="标题 2 Char"/>
    <w:link w:val="3"/>
    <w:qFormat/>
    <w:uiPriority w:val="0"/>
    <w:rPr>
      <w:rFonts w:ascii="Arial" w:hAnsi="Arial" w:eastAsia="黑体"/>
      <w:b/>
      <w:sz w:val="32"/>
      <w:szCs w:val="22"/>
    </w:rPr>
  </w:style>
  <w:style w:type="character" w:customStyle="1" w:styleId="51">
    <w:name w:val="pos"/>
    <w:basedOn w:val="26"/>
    <w:qFormat/>
    <w:uiPriority w:val="0"/>
  </w:style>
  <w:style w:type="character" w:customStyle="1" w:styleId="52">
    <w:name w:val="Normal with indent Char"/>
    <w:link w:val="53"/>
    <w:qFormat/>
    <w:uiPriority w:val="0"/>
    <w:rPr>
      <w:rFonts w:ascii="Times New Roman" w:hAnsi="Times New Roman" w:eastAsia="Malgun Gothic"/>
      <w:lang w:val="en-GB" w:eastAsia="ko-KR"/>
    </w:rPr>
  </w:style>
  <w:style w:type="paragraph" w:customStyle="1" w:styleId="53">
    <w:name w:val="Normal with indent"/>
    <w:basedOn w:val="1"/>
    <w:link w:val="52"/>
    <w:qFormat/>
    <w:uiPriority w:val="0"/>
    <w:pPr>
      <w:spacing w:before="120" w:line="336" w:lineRule="auto"/>
      <w:ind w:firstLine="397"/>
    </w:pPr>
    <w:rPr>
      <w:rFonts w:eastAsia="Malgun Gothic"/>
      <w:lang w:val="en-GB" w:eastAsia="ko-KR"/>
    </w:rPr>
  </w:style>
  <w:style w:type="character" w:customStyle="1" w:styleId="54">
    <w:name w:val="word"/>
    <w:basedOn w:val="26"/>
    <w:qFormat/>
    <w:uiPriority w:val="0"/>
  </w:style>
  <w:style w:type="character" w:customStyle="1" w:styleId="55">
    <w:name w:val="Caption Char1"/>
    <w:qFormat/>
    <w:uiPriority w:val="0"/>
    <w:rPr>
      <w:rFonts w:ascii="Times New Roman" w:hAnsi="Times New Roman"/>
      <w:b/>
      <w:bCs/>
      <w:lang w:val="en-GB" w:eastAsia="sv-SE"/>
    </w:rPr>
  </w:style>
  <w:style w:type="character" w:customStyle="1" w:styleId="56">
    <w:name w:val="标题 7 Char"/>
    <w:link w:val="8"/>
    <w:qFormat/>
    <w:uiPriority w:val="9"/>
    <w:rPr>
      <w:rFonts w:ascii="Calibri" w:hAnsi="Calibri"/>
      <w:b/>
      <w:sz w:val="24"/>
      <w:szCs w:val="22"/>
    </w:rPr>
  </w:style>
  <w:style w:type="character" w:customStyle="1" w:styleId="57">
    <w:name w:val="标题 6 Char"/>
    <w:link w:val="7"/>
    <w:qFormat/>
    <w:uiPriority w:val="9"/>
    <w:rPr>
      <w:rFonts w:ascii="Arial" w:hAnsi="Arial" w:eastAsia="黑体"/>
      <w:b/>
      <w:sz w:val="24"/>
      <w:szCs w:val="22"/>
    </w:rPr>
  </w:style>
  <w:style w:type="character" w:customStyle="1" w:styleId="58">
    <w:name w:val="TAL Char"/>
    <w:link w:val="59"/>
    <w:qFormat/>
    <w:locked/>
    <w:uiPriority w:val="0"/>
    <w:rPr>
      <w:rFonts w:ascii="Arial" w:hAnsi="Arial"/>
      <w:sz w:val="18"/>
      <w:lang w:val="en-GB" w:eastAsia="en-US"/>
    </w:rPr>
  </w:style>
  <w:style w:type="paragraph" w:customStyle="1" w:styleId="59">
    <w:name w:val="TAL"/>
    <w:basedOn w:val="1"/>
    <w:link w:val="58"/>
    <w:qFormat/>
    <w:uiPriority w:val="0"/>
    <w:pPr>
      <w:keepNext/>
      <w:keepLines/>
    </w:pPr>
    <w:rPr>
      <w:rFonts w:ascii="Arial" w:hAnsi="Arial"/>
      <w:sz w:val="18"/>
      <w:lang w:val="en-GB" w:eastAsia="en-US"/>
    </w:rPr>
  </w:style>
  <w:style w:type="character" w:customStyle="1" w:styleId="60">
    <w:name w:val="apple-style-span"/>
    <w:basedOn w:val="26"/>
    <w:qFormat/>
    <w:uiPriority w:val="0"/>
  </w:style>
  <w:style w:type="character" w:customStyle="1" w:styleId="61">
    <w:name w:val="文档结构图 Char"/>
    <w:link w:val="13"/>
    <w:semiHidden/>
    <w:qFormat/>
    <w:uiPriority w:val="99"/>
    <w:rPr>
      <w:rFonts w:ascii="宋体"/>
      <w:sz w:val="18"/>
      <w:szCs w:val="18"/>
    </w:rPr>
  </w:style>
  <w:style w:type="character" w:customStyle="1" w:styleId="62">
    <w:name w:val="B1 (文字)"/>
    <w:link w:val="63"/>
    <w:qFormat/>
    <w:locked/>
    <w:uiPriority w:val="99"/>
    <w:rPr>
      <w:rFonts w:ascii="Times New Roman" w:hAnsi="Times New Roman" w:eastAsia="宋体"/>
      <w:lang w:val="en-GB" w:eastAsia="en-US"/>
    </w:rPr>
  </w:style>
  <w:style w:type="paragraph" w:customStyle="1" w:styleId="63">
    <w:name w:val="B1"/>
    <w:basedOn w:val="19"/>
    <w:link w:val="62"/>
    <w:qFormat/>
    <w:uiPriority w:val="99"/>
    <w:pPr>
      <w:spacing w:after="180"/>
      <w:ind w:left="568" w:hanging="284" w:firstLineChars="0"/>
    </w:pPr>
    <w:rPr>
      <w:lang w:val="en-GB" w:eastAsia="en-US"/>
    </w:rPr>
  </w:style>
  <w:style w:type="character" w:customStyle="1" w:styleId="64">
    <w:name w:val="中等深浅网格 1 - 强调文字颜色 2 Char"/>
    <w:qFormat/>
    <w:locked/>
    <w:uiPriority w:val="34"/>
    <w:rPr>
      <w:rFonts w:ascii="Times New Roman" w:hAnsi="Times New Roman"/>
      <w:kern w:val="2"/>
      <w:sz w:val="21"/>
      <w:szCs w:val="24"/>
    </w:rPr>
  </w:style>
  <w:style w:type="character" w:customStyle="1" w:styleId="65">
    <w:name w:val="text Char"/>
    <w:link w:val="45"/>
    <w:qFormat/>
    <w:uiPriority w:val="0"/>
    <w:rPr>
      <w:rFonts w:ascii="Calibri" w:hAnsi="Calibri"/>
      <w:kern w:val="2"/>
      <w:sz w:val="24"/>
    </w:rPr>
  </w:style>
  <w:style w:type="character" w:customStyle="1" w:styleId="66">
    <w:name w:val="题注 Char"/>
    <w:link w:val="12"/>
    <w:qFormat/>
    <w:uiPriority w:val="0"/>
    <w:rPr>
      <w:rFonts w:ascii="Times New Roman" w:hAnsi="Times New Roman"/>
      <w:b/>
      <w:bCs/>
      <w:lang w:val="en-GB" w:eastAsia="sv-SE"/>
    </w:rPr>
  </w:style>
  <w:style w:type="character" w:customStyle="1" w:styleId="67">
    <w:name w:val="B1 Zchn"/>
    <w:qFormat/>
    <w:uiPriority w:val="0"/>
    <w:rPr>
      <w:rFonts w:eastAsia="宋体"/>
      <w:lang w:val="en-GB" w:eastAsia="en-US"/>
    </w:rPr>
  </w:style>
  <w:style w:type="character" w:customStyle="1" w:styleId="68">
    <w:name w:val="bullet1 Char"/>
    <w:link w:val="69"/>
    <w:qFormat/>
    <w:uiPriority w:val="0"/>
    <w:rPr>
      <w:rFonts w:ascii="Calibri" w:hAnsi="Calibri"/>
      <w:kern w:val="2"/>
      <w:sz w:val="24"/>
      <w:szCs w:val="24"/>
      <w:lang w:val="en-GB"/>
    </w:rPr>
  </w:style>
  <w:style w:type="paragraph" w:customStyle="1" w:styleId="69">
    <w:name w:val="bullet1"/>
    <w:basedOn w:val="45"/>
    <w:link w:val="68"/>
    <w:qFormat/>
    <w:uiPriority w:val="0"/>
    <w:pPr>
      <w:widowControl/>
      <w:numPr>
        <w:ilvl w:val="0"/>
        <w:numId w:val="2"/>
      </w:numPr>
      <w:spacing w:after="0"/>
      <w:jc w:val="left"/>
    </w:pPr>
    <w:rPr>
      <w:szCs w:val="24"/>
      <w:lang w:val="en-GB"/>
    </w:rPr>
  </w:style>
  <w:style w:type="character" w:customStyle="1" w:styleId="70">
    <w:name w:val="标题 8 Char"/>
    <w:link w:val="9"/>
    <w:qFormat/>
    <w:uiPriority w:val="9"/>
    <w:rPr>
      <w:rFonts w:ascii="Arial" w:hAnsi="Arial" w:eastAsia="黑体"/>
      <w:sz w:val="24"/>
      <w:szCs w:val="22"/>
    </w:rPr>
  </w:style>
  <w:style w:type="character" w:customStyle="1" w:styleId="71">
    <w:name w:val="批注文字 Char"/>
    <w:basedOn w:val="26"/>
    <w:link w:val="14"/>
    <w:qFormat/>
    <w:uiPriority w:val="99"/>
  </w:style>
  <w:style w:type="character" w:customStyle="1" w:styleId="72">
    <w:name w:val="TAC Char"/>
    <w:link w:val="73"/>
    <w:qFormat/>
    <w:uiPriority w:val="0"/>
    <w:rPr>
      <w:rFonts w:ascii="Arial" w:hAnsi="Arial" w:eastAsia="Times New Roman"/>
      <w:sz w:val="18"/>
      <w:lang w:val="en-GB" w:eastAsia="en-GB"/>
    </w:rPr>
  </w:style>
  <w:style w:type="paragraph" w:customStyle="1" w:styleId="73">
    <w:name w:val="TAC"/>
    <w:basedOn w:val="59"/>
    <w:link w:val="72"/>
    <w:qFormat/>
    <w:uiPriority w:val="0"/>
    <w:pPr>
      <w:overflowPunct w:val="0"/>
      <w:autoSpaceDE w:val="0"/>
      <w:autoSpaceDN w:val="0"/>
      <w:adjustRightInd w:val="0"/>
      <w:jc w:val="center"/>
      <w:textAlignment w:val="baseline"/>
    </w:pPr>
    <w:rPr>
      <w:rFonts w:eastAsia="Times New Roman"/>
      <w:lang w:eastAsia="en-GB"/>
    </w:rPr>
  </w:style>
  <w:style w:type="character" w:customStyle="1" w:styleId="74">
    <w:name w:val="TH Char"/>
    <w:link w:val="75"/>
    <w:qFormat/>
    <w:uiPriority w:val="0"/>
    <w:rPr>
      <w:rFonts w:ascii="Arial" w:hAnsi="Arial"/>
      <w:b/>
      <w:lang w:val="en-GB" w:eastAsia="en-US"/>
    </w:rPr>
  </w:style>
  <w:style w:type="paragraph" w:customStyle="1" w:styleId="75">
    <w:name w:val="TH"/>
    <w:basedOn w:val="1"/>
    <w:link w:val="74"/>
    <w:qFormat/>
    <w:uiPriority w:val="0"/>
    <w:pPr>
      <w:keepNext/>
      <w:keepLines/>
      <w:spacing w:before="60" w:after="180"/>
      <w:jc w:val="center"/>
    </w:pPr>
    <w:rPr>
      <w:rFonts w:ascii="Arial" w:hAnsi="Arial"/>
      <w:b/>
      <w:lang w:val="en-GB" w:eastAsia="en-US"/>
    </w:rPr>
  </w:style>
  <w:style w:type="character" w:customStyle="1" w:styleId="76">
    <w:name w:val="正文文本 Char"/>
    <w:link w:val="15"/>
    <w:qFormat/>
    <w:uiPriority w:val="0"/>
    <w:rPr>
      <w:rFonts w:ascii="Times New Roman" w:hAnsi="Times New Roman"/>
      <w:color w:val="0000FF"/>
      <w:kern w:val="2"/>
      <w:sz w:val="21"/>
    </w:rPr>
  </w:style>
  <w:style w:type="character" w:customStyle="1" w:styleId="77">
    <w:name w:val="high-light"/>
    <w:basedOn w:val="26"/>
    <w:qFormat/>
    <w:uiPriority w:val="0"/>
  </w:style>
  <w:style w:type="character" w:customStyle="1" w:styleId="78">
    <w:name w:val="脚注文本 Char"/>
    <w:link w:val="20"/>
    <w:semiHidden/>
    <w:qFormat/>
    <w:uiPriority w:val="0"/>
    <w:rPr>
      <w:rFonts w:ascii="Times" w:hAnsi="Times" w:eastAsia="Batang"/>
      <w:lang w:eastAsia="en-US"/>
    </w:rPr>
  </w:style>
  <w:style w:type="character" w:customStyle="1" w:styleId="79">
    <w:name w:val="页眉 Char"/>
    <w:link w:val="18"/>
    <w:qFormat/>
    <w:uiPriority w:val="0"/>
    <w:rPr>
      <w:rFonts w:ascii="Arial" w:hAnsi="Arial" w:eastAsia="MS Mincho"/>
      <w:b/>
      <w:szCs w:val="24"/>
      <w:lang w:eastAsia="en-US"/>
    </w:rPr>
  </w:style>
  <w:style w:type="character" w:customStyle="1" w:styleId="80">
    <w:name w:val="bullet2 Char"/>
    <w:link w:val="81"/>
    <w:qFormat/>
    <w:uiPriority w:val="0"/>
    <w:rPr>
      <w:rFonts w:ascii="Times" w:hAnsi="Times"/>
      <w:kern w:val="2"/>
      <w:sz w:val="24"/>
      <w:szCs w:val="24"/>
      <w:lang w:val="en-GB"/>
    </w:rPr>
  </w:style>
  <w:style w:type="paragraph" w:customStyle="1" w:styleId="81">
    <w:name w:val="bullet2"/>
    <w:basedOn w:val="45"/>
    <w:link w:val="80"/>
    <w:qFormat/>
    <w:uiPriority w:val="0"/>
    <w:pPr>
      <w:widowControl/>
      <w:numPr>
        <w:ilvl w:val="1"/>
        <w:numId w:val="2"/>
      </w:numPr>
      <w:spacing w:after="0"/>
      <w:jc w:val="left"/>
    </w:pPr>
    <w:rPr>
      <w:rFonts w:ascii="Times" w:hAnsi="Times"/>
      <w:szCs w:val="24"/>
      <w:lang w:val="en-GB"/>
    </w:rPr>
  </w:style>
  <w:style w:type="paragraph" w:customStyle="1" w:styleId="82">
    <w:name w:val="RAN1 bullet2"/>
    <w:basedOn w:val="1"/>
    <w:qFormat/>
    <w:uiPriority w:val="0"/>
    <w:pPr>
      <w:numPr>
        <w:ilvl w:val="1"/>
        <w:numId w:val="3"/>
      </w:numPr>
    </w:pPr>
  </w:style>
  <w:style w:type="paragraph" w:customStyle="1" w:styleId="83">
    <w:name w:val="RAN1 text"/>
    <w:basedOn w:val="15"/>
    <w:qFormat/>
    <w:uiPriority w:val="0"/>
    <w:rPr>
      <w:rFonts w:eastAsia="MS Mincho"/>
    </w:rPr>
  </w:style>
  <w:style w:type="paragraph" w:customStyle="1" w:styleId="84">
    <w:name w:val="EQ"/>
    <w:basedOn w:val="1"/>
    <w:next w:val="1"/>
    <w:qFormat/>
    <w:uiPriority w:val="0"/>
    <w:pPr>
      <w:keepLines/>
      <w:tabs>
        <w:tab w:val="center" w:pos="4536"/>
        <w:tab w:val="right" w:pos="9072"/>
      </w:tabs>
      <w:spacing w:after="180"/>
    </w:pPr>
    <w:rPr>
      <w:lang w:val="en-GB" w:eastAsia="en-US"/>
    </w:rPr>
  </w:style>
  <w:style w:type="paragraph" w:customStyle="1" w:styleId="85">
    <w:name w:val="Colorful List - Accent 11"/>
    <w:basedOn w:val="1"/>
    <w:qFormat/>
    <w:uiPriority w:val="99"/>
    <w:pPr>
      <w:widowControl w:val="0"/>
      <w:ind w:firstLine="420" w:firstLineChars="200"/>
    </w:pPr>
    <w:rPr>
      <w:kern w:val="2"/>
      <w:sz w:val="21"/>
      <w:szCs w:val="24"/>
    </w:rPr>
  </w:style>
  <w:style w:type="paragraph" w:customStyle="1" w:styleId="86">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7">
    <w:name w:val="LGTdoc_제목1"/>
    <w:basedOn w:val="1"/>
    <w:qFormat/>
    <w:uiPriority w:val="0"/>
    <w:pPr>
      <w:adjustRightInd w:val="0"/>
      <w:snapToGrid w:val="0"/>
      <w:spacing w:after="100" w:afterAutospacing="1"/>
    </w:pPr>
    <w:rPr>
      <w:rFonts w:eastAsia="Batang"/>
      <w:b/>
      <w:snapToGrid w:val="0"/>
      <w:sz w:val="28"/>
      <w:lang w:val="en-GB" w:eastAsia="ko-KR"/>
    </w:rPr>
  </w:style>
  <w:style w:type="paragraph" w:customStyle="1" w:styleId="88">
    <w:name w:val="No Spacing1"/>
    <w:qFormat/>
    <w:uiPriority w:val="1"/>
    <w:pPr>
      <w:spacing w:after="160" w:line="259" w:lineRule="auto"/>
    </w:pPr>
    <w:rPr>
      <w:rFonts w:ascii="Calibri" w:hAnsi="Calibri" w:eastAsia="宋体" w:cs="Times New Roman"/>
      <w:sz w:val="22"/>
      <w:szCs w:val="22"/>
      <w:lang w:val="en-US" w:eastAsia="zh-CN" w:bidi="ar-SA"/>
    </w:rPr>
  </w:style>
  <w:style w:type="paragraph" w:customStyle="1" w:styleId="89">
    <w:name w:val="PaperTableCell"/>
    <w:basedOn w:val="1"/>
    <w:qFormat/>
    <w:uiPriority w:val="0"/>
    <w:rPr>
      <w:rFonts w:eastAsia="Times New Roman"/>
      <w:sz w:val="16"/>
      <w:szCs w:val="24"/>
      <w:lang w:eastAsia="en-US"/>
    </w:rPr>
  </w:style>
  <w:style w:type="paragraph" w:customStyle="1" w:styleId="90">
    <w:name w:val="Medium Shading 1 - Accent 1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1">
    <w:name w:val="彩色列表 - 强调文字颜色 11"/>
    <w:basedOn w:val="1"/>
    <w:qFormat/>
    <w:uiPriority w:val="34"/>
    <w:pPr>
      <w:widowControl w:val="0"/>
      <w:ind w:firstLine="420" w:firstLineChars="200"/>
    </w:pPr>
    <w:rPr>
      <w:kern w:val="2"/>
      <w:sz w:val="21"/>
    </w:rPr>
  </w:style>
  <w:style w:type="paragraph" w:customStyle="1" w:styleId="92">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3">
    <w:name w:val="RAN1 bullet3"/>
    <w:basedOn w:val="82"/>
    <w:qFormat/>
    <w:uiPriority w:val="0"/>
    <w:pPr>
      <w:numPr>
        <w:ilvl w:val="2"/>
        <w:numId w:val="4"/>
      </w:numPr>
    </w:p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5">
    <w:name w:val="TF"/>
    <w:basedOn w:val="75"/>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96">
    <w:name w:val="RAN1 bullet1"/>
    <w:basedOn w:val="1"/>
    <w:qFormat/>
    <w:uiPriority w:val="0"/>
    <w:pPr>
      <w:numPr>
        <w:ilvl w:val="0"/>
        <w:numId w:val="5"/>
      </w:numPr>
    </w:pPr>
  </w:style>
  <w:style w:type="paragraph" w:customStyle="1" w:styleId="9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98">
    <w:name w:val="No Spacing1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9">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00">
    <w:name w:val="表格文字居左"/>
    <w:basedOn w:val="1"/>
    <w:next w:val="1"/>
    <w:qFormat/>
    <w:uiPriority w:val="0"/>
    <w:pPr>
      <w:widowControl w:val="0"/>
    </w:pPr>
    <w:rPr>
      <w:rFonts w:ascii="Arial" w:hAnsi="Arial" w:cs="宋体"/>
      <w:kern w:val="2"/>
      <w:sz w:val="21"/>
    </w:rPr>
  </w:style>
  <w:style w:type="paragraph" w:customStyle="1" w:styleId="101">
    <w:name w:val="List Paragraph11"/>
    <w:basedOn w:val="1"/>
    <w:qFormat/>
    <w:uiPriority w:val="34"/>
    <w:pPr>
      <w:widowControl w:val="0"/>
      <w:ind w:firstLine="420" w:firstLineChars="200"/>
    </w:pPr>
    <w:rPr>
      <w:kern w:val="2"/>
      <w:sz w:val="21"/>
    </w:rPr>
  </w:style>
  <w:style w:type="paragraph" w:customStyle="1" w:styleId="102">
    <w:name w:val="Medium List 2 - Accent 2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03">
    <w:name w:val="bullet4"/>
    <w:basedOn w:val="45"/>
    <w:qFormat/>
    <w:uiPriority w:val="0"/>
    <w:pPr>
      <w:widowControl/>
      <w:numPr>
        <w:ilvl w:val="3"/>
        <w:numId w:val="2"/>
      </w:numPr>
      <w:tabs>
        <w:tab w:val="left" w:pos="360"/>
        <w:tab w:val="left" w:pos="864"/>
      </w:tabs>
      <w:spacing w:after="0"/>
      <w:ind w:left="0" w:firstLine="0"/>
      <w:jc w:val="left"/>
    </w:pPr>
    <w:rPr>
      <w:rFonts w:ascii="Times" w:hAnsi="Times" w:eastAsia="Batang"/>
      <w:kern w:val="0"/>
      <w:sz w:val="20"/>
      <w:szCs w:val="24"/>
      <w:lang w:val="en-GB" w:eastAsia="en-US"/>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paragraph" w:customStyle="1" w:styleId="105">
    <w:name w:val="reader-word-layer"/>
    <w:basedOn w:val="1"/>
    <w:qFormat/>
    <w:uiPriority w:val="0"/>
    <w:pPr>
      <w:spacing w:before="100" w:beforeAutospacing="1" w:after="100" w:afterAutospacing="1"/>
    </w:pPr>
    <w:rPr>
      <w:rFonts w:ascii="宋体" w:hAnsi="宋体" w:cs="宋体"/>
      <w:sz w:val="24"/>
      <w:szCs w:val="24"/>
    </w:rPr>
  </w:style>
  <w:style w:type="paragraph" w:customStyle="1" w:styleId="106">
    <w:name w:val="TAH"/>
    <w:basedOn w:val="73"/>
    <w:qFormat/>
    <w:uiPriority w:val="0"/>
    <w:rPr>
      <w:b/>
    </w:rPr>
  </w:style>
  <w:style w:type="paragraph" w:customStyle="1" w:styleId="107">
    <w:name w:val="Tdoc_Header_2"/>
    <w:basedOn w:val="1"/>
    <w:qFormat/>
    <w:uiPriority w:val="0"/>
    <w:pPr>
      <w:widowControl w:val="0"/>
      <w:tabs>
        <w:tab w:val="left" w:pos="1701"/>
        <w:tab w:val="right" w:pos="9072"/>
        <w:tab w:val="right" w:pos="10206"/>
      </w:tabs>
    </w:pPr>
    <w:rPr>
      <w:rFonts w:ascii="Arial" w:hAnsi="Arial" w:eastAsia="Batang"/>
      <w:b/>
      <w:sz w:val="18"/>
      <w:lang w:val="en-GB" w:eastAsia="en-US"/>
    </w:rPr>
  </w:style>
  <w:style w:type="paragraph" w:customStyle="1" w:styleId="108">
    <w:name w:val="tal"/>
    <w:basedOn w:val="1"/>
    <w:qFormat/>
    <w:uiPriority w:val="0"/>
    <w:pPr>
      <w:keepNext/>
    </w:pPr>
    <w:rPr>
      <w:rFonts w:ascii="Arial" w:hAnsi="Arial" w:eastAsia="Gulim" w:cs="Arial"/>
      <w:sz w:val="18"/>
      <w:szCs w:val="18"/>
      <w:lang w:eastAsia="ko-KR"/>
    </w:rPr>
  </w:style>
  <w:style w:type="table" w:customStyle="1" w:styleId="109">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110">
    <w:name w:val="msoins2"/>
    <w:qFormat/>
    <w:uiPriority w:val="0"/>
  </w:style>
  <w:style w:type="paragraph" w:customStyle="1" w:styleId="111">
    <w:name w:val="B2"/>
    <w:basedOn w:val="1"/>
    <w:qFormat/>
    <w:uiPriority w:val="0"/>
    <w:pPr>
      <w:ind w:left="851" w:hanging="284"/>
    </w:pPr>
    <w:rPr>
      <w:lang w:val="zh-CN"/>
    </w:rPr>
  </w:style>
  <w:style w:type="paragraph" w:customStyle="1" w:styleId="112">
    <w:name w:val="List Paragraph2"/>
    <w:basedOn w:val="1"/>
    <w:qFormat/>
    <w:uiPriority w:val="34"/>
    <w:pPr>
      <w:ind w:firstLine="420" w:firstLineChars="200"/>
    </w:pPr>
  </w:style>
  <w:style w:type="paragraph" w:styleId="113">
    <w:name w:val="List Paragraph"/>
    <w:basedOn w:val="1"/>
    <w:qFormat/>
    <w:uiPriority w:val="99"/>
    <w:pPr>
      <w:ind w:firstLine="420" w:firstLineChars="200"/>
    </w:pPr>
  </w:style>
  <w:style w:type="paragraph" w:customStyle="1" w:styleId="114">
    <w:name w:val="x_msonormal"/>
    <w:basedOn w:val="1"/>
    <w:qFormat/>
    <w:uiPriority w:val="99"/>
    <w:pPr>
      <w:spacing w:before="100" w:beforeAutospacing="1" w:after="100" w:afterAutospacing="1"/>
    </w:pPr>
    <w:rPr>
      <w:rFonts w:ascii="Calibri" w:hAnsi="Calibri" w:cs="Calibri" w:eastAsiaTheme="minorHAnsi"/>
      <w:lang w:eastAsia="en-GB"/>
    </w:rPr>
  </w:style>
  <w:style w:type="paragraph" w:customStyle="1" w:styleId="115">
    <w:name w:val="List Paragraph5"/>
    <w:basedOn w:val="1"/>
    <w:qFormat/>
    <w:uiPriority w:val="34"/>
    <w:pPr>
      <w:ind w:firstLine="420" w:firstLineChars="200"/>
    </w:pPr>
  </w:style>
  <w:style w:type="paragraph" w:customStyle="1" w:styleId="116">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Times New Roman" w:cs="Times New Roman"/>
      <w:sz w:val="24"/>
      <w:szCs w:val="24"/>
      <w:lang w:val="en-US" w:eastAsia="zh-CN" w:bidi="ar-SA"/>
    </w:rPr>
  </w:style>
  <w:style w:type="paragraph" w:customStyle="1" w:styleId="117">
    <w:name w:val="标题 41"/>
    <w:basedOn w:val="1"/>
    <w:next w:val="116"/>
    <w:qFormat/>
    <w:uiPriority w:val="0"/>
    <w:pPr>
      <w:keepNext/>
      <w:keepLines/>
      <w:widowControl w:val="0"/>
      <w:overflowPunct w:val="0"/>
      <w:autoSpaceDE w:val="0"/>
      <w:autoSpaceDN w:val="0"/>
      <w:adjustRightInd w:val="0"/>
      <w:spacing w:before="120" w:beforeLines="0" w:after="180" w:line="240" w:lineRule="auto"/>
      <w:ind w:left="1418" w:hanging="1418"/>
      <w:textAlignment w:val="baseline"/>
      <w:outlineLvl w:val="3"/>
    </w:pPr>
    <w:rPr>
      <w:rFonts w:ascii="Arial" w:hAnsi="Arial" w:eastAsia="Times New Roman"/>
      <w:sz w:val="24"/>
      <w:szCs w:val="24"/>
    </w:rPr>
  </w:style>
  <w:style w:type="paragraph" w:customStyle="1" w:styleId="118">
    <w:name w:val="PL"/>
    <w:basedOn w:val="1"/>
    <w:qFormat/>
    <w:uiPriority w:val="0"/>
    <w:pPr>
      <w:shd w:val="clear" w:color="auto" w:fill="E6E6E6"/>
      <w:overflowPunct w:val="0"/>
      <w:autoSpaceDE w:val="0"/>
      <w:autoSpaceDN w:val="0"/>
      <w:adjustRightInd w:val="0"/>
      <w:spacing w:before="0" w:beforeLines="0" w:after="0" w:line="240" w:lineRule="auto"/>
      <w:textAlignment w:val="baseline"/>
    </w:pPr>
    <w:rPr>
      <w:rFonts w:ascii="Courier New" w:hAnsi="Courier New" w:eastAsia="Times New Roman"/>
      <w:sz w:val="16"/>
      <w:szCs w:val="16"/>
    </w:rPr>
  </w:style>
  <w:style w:type="paragraph" w:customStyle="1" w:styleId="119">
    <w:name w:val="Revision1"/>
    <w:hidden/>
    <w:semiHidden/>
    <w:qFormat/>
    <w:uiPriority w:val="99"/>
    <w:pPr>
      <w:spacing w:after="160" w:line="259"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2.bin"/><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ACF419-7350-4561-8496-75FF3A6DA20C}">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14</Pages>
  <Words>5261</Words>
  <Characters>29989</Characters>
  <Lines>249</Lines>
  <Paragraphs>70</Paragraphs>
  <TotalTime>24</TotalTime>
  <ScaleCrop>false</ScaleCrop>
  <LinksUpToDate>false</LinksUpToDate>
  <CharactersWithSpaces>35180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2021-09-30T07:20:00Z</dcterms:created>
  <dc:creator>ZTE</dc:creator>
  <cp:lastModifiedBy>SHAO Shijia</cp:lastModifiedBy>
  <dcterms:modified xsi:type="dcterms:W3CDTF">2021-09-30T07:53:04Z</dcterms:modified>
  <dc:title>3GPP TSG-RAN WG1 #78bis</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